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8C6F" w14:textId="77777777" w:rsidR="00DB577F" w:rsidRDefault="00DB577F" w:rsidP="00DB577F">
      <w:pPr>
        <w:tabs>
          <w:tab w:val="left" w:pos="4455"/>
          <w:tab w:val="left" w:pos="8910"/>
        </w:tabs>
        <w:spacing w:line="360" w:lineRule="auto"/>
        <w:jc w:val="center"/>
        <w:rPr>
          <w:rFonts w:ascii="Montserrat" w:hAnsi="Montserrat" w:cs="Tahoma"/>
          <w:i/>
          <w:iCs/>
          <w:sz w:val="14"/>
          <w:szCs w:val="14"/>
        </w:rPr>
      </w:pPr>
      <w:r w:rsidRPr="008F281D">
        <w:rPr>
          <w:rFonts w:ascii="Montserrat" w:hAnsi="Montserrat" w:cs="Tahoma"/>
          <w:i/>
          <w:iCs/>
          <w:sz w:val="14"/>
          <w:szCs w:val="14"/>
        </w:rPr>
        <w:t xml:space="preserve">ESTE ANÚNCIO É DE CARÁTER EXCLUSIVAMENTE INFORMATIVO, NÃO SE TRATANDO DE OFERTA DE VENDA DE VALORES MOBILIÁRIOS </w:t>
      </w:r>
    </w:p>
    <w:p w14:paraId="2066AAD0" w14:textId="77777777" w:rsidR="00215533" w:rsidRPr="008F281D" w:rsidRDefault="00215533" w:rsidP="00DB577F">
      <w:pPr>
        <w:tabs>
          <w:tab w:val="left" w:pos="4455"/>
          <w:tab w:val="left" w:pos="8910"/>
        </w:tabs>
        <w:spacing w:line="360" w:lineRule="auto"/>
        <w:jc w:val="center"/>
        <w:rPr>
          <w:rFonts w:ascii="Montserrat" w:hAnsi="Montserrat" w:cs="Tahoma"/>
          <w:i/>
          <w:iCs/>
          <w:sz w:val="14"/>
          <w:szCs w:val="14"/>
        </w:rPr>
      </w:pPr>
    </w:p>
    <w:p w14:paraId="4D713457" w14:textId="34608828" w:rsidR="00BC7A01" w:rsidRPr="00B77954" w:rsidRDefault="00960426" w:rsidP="00A701F7">
      <w:pPr>
        <w:spacing w:after="0" w:line="276" w:lineRule="auto"/>
        <w:jc w:val="center"/>
        <w:rPr>
          <w:rFonts w:ascii="Montserrat" w:hAnsi="Montserrat" w:cs="Tahoma"/>
          <w:b/>
          <w:bCs/>
          <w:sz w:val="20"/>
          <w:szCs w:val="20"/>
        </w:rPr>
      </w:pPr>
      <w:r w:rsidRPr="00B77954">
        <w:rPr>
          <w:rFonts w:ascii="Montserrat" w:hAnsi="Montserrat" w:cs="Tahoma"/>
          <w:b/>
          <w:bCs/>
          <w:noProof/>
          <w:sz w:val="20"/>
          <w:szCs w:val="20"/>
        </w:rPr>
        <w:drawing>
          <wp:inline distT="0" distB="0" distL="0" distR="0" wp14:anchorId="76544277" wp14:editId="1986CA91">
            <wp:extent cx="1902256" cy="576000"/>
            <wp:effectExtent l="0" t="0" r="3175" b="0"/>
            <wp:docPr id="1246145924" name="Imagem 1"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45924" name="Imagem 1" descr="Logotipo&#10;&#10;Descrição gerada automaticamente com confiança mé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2256" cy="576000"/>
                    </a:xfrm>
                    <a:prstGeom prst="rect">
                      <a:avLst/>
                    </a:prstGeom>
                  </pic:spPr>
                </pic:pic>
              </a:graphicData>
            </a:graphic>
          </wp:inline>
        </w:drawing>
      </w:r>
    </w:p>
    <w:p w14:paraId="6A62074A" w14:textId="3164B241" w:rsidR="001A45A8" w:rsidRPr="00B77954" w:rsidRDefault="001A45A8" w:rsidP="00960426">
      <w:pPr>
        <w:spacing w:after="0" w:line="276" w:lineRule="auto"/>
        <w:rPr>
          <w:rFonts w:ascii="Montserrat" w:hAnsi="Montserrat" w:cs="Tahoma"/>
          <w:b/>
          <w:bCs/>
          <w:sz w:val="20"/>
          <w:szCs w:val="20"/>
        </w:rPr>
      </w:pPr>
    </w:p>
    <w:p w14:paraId="4EB5AFA2" w14:textId="3A982D58" w:rsidR="00097F26" w:rsidRPr="00B77954" w:rsidRDefault="00097F26" w:rsidP="00A701F7">
      <w:pPr>
        <w:spacing w:after="0" w:line="276" w:lineRule="auto"/>
        <w:jc w:val="center"/>
        <w:rPr>
          <w:rFonts w:ascii="Montserrat" w:hAnsi="Montserrat" w:cs="Tahoma"/>
          <w:b/>
          <w:bCs/>
          <w:sz w:val="20"/>
          <w:szCs w:val="20"/>
        </w:rPr>
      </w:pPr>
      <w:r w:rsidRPr="00B77954">
        <w:rPr>
          <w:rFonts w:ascii="Montserrat" w:hAnsi="Montserrat" w:cs="Tahoma"/>
          <w:b/>
          <w:bCs/>
          <w:sz w:val="20"/>
          <w:szCs w:val="20"/>
        </w:rPr>
        <w:t xml:space="preserve">ANÚNCIO DE </w:t>
      </w:r>
      <w:r w:rsidR="0098736E">
        <w:rPr>
          <w:rFonts w:ascii="Montserrat" w:hAnsi="Montserrat" w:cs="Tahoma"/>
          <w:b/>
          <w:bCs/>
          <w:sz w:val="20"/>
          <w:szCs w:val="20"/>
        </w:rPr>
        <w:t>ENCERRAMENTO</w:t>
      </w:r>
    </w:p>
    <w:p w14:paraId="70A85144" w14:textId="77777777" w:rsidR="00097F26" w:rsidRPr="00B77954" w:rsidRDefault="00097F26" w:rsidP="00A701F7">
      <w:pPr>
        <w:spacing w:after="0" w:line="276" w:lineRule="auto"/>
        <w:rPr>
          <w:rFonts w:ascii="Montserrat" w:hAnsi="Montserrat" w:cs="Tahoma"/>
          <w:sz w:val="20"/>
          <w:szCs w:val="20"/>
        </w:rPr>
      </w:pPr>
    </w:p>
    <w:p w14:paraId="37EDF476" w14:textId="02B60A8D" w:rsidR="00097F26" w:rsidRDefault="00F25014" w:rsidP="00567CCE">
      <w:pPr>
        <w:spacing w:after="0" w:line="276" w:lineRule="auto"/>
        <w:jc w:val="center"/>
        <w:rPr>
          <w:rFonts w:ascii="Montserrat" w:hAnsi="Montserrat" w:cs="Tahoma"/>
          <w:b/>
          <w:bCs/>
          <w:sz w:val="20"/>
          <w:szCs w:val="20"/>
        </w:rPr>
      </w:pPr>
      <w:r w:rsidRPr="00F25014">
        <w:rPr>
          <w:rFonts w:ascii="Montserrat" w:hAnsi="Montserrat" w:cs="Tahoma"/>
          <w:b/>
          <w:bCs/>
          <w:sz w:val="20"/>
          <w:szCs w:val="20"/>
        </w:rPr>
        <w:t xml:space="preserve">DA OFERTA PÚBLICA DE DISTRIBUIÇÃO DOS CERTIFICADOS DE RECEBÍVEIS IMOBILIÁRIOS </w:t>
      </w:r>
      <w:r w:rsidR="00F10187" w:rsidRPr="00F10187">
        <w:rPr>
          <w:rFonts w:ascii="Montserrat" w:hAnsi="Montserrat" w:cs="Tahoma"/>
          <w:b/>
          <w:bCs/>
          <w:sz w:val="20"/>
          <w:szCs w:val="20"/>
        </w:rPr>
        <w:t xml:space="preserve">DA </w:t>
      </w:r>
      <w:r w:rsidR="006250FF">
        <w:rPr>
          <w:rFonts w:ascii="Montserrat" w:hAnsi="Montserrat" w:cs="Tahoma"/>
          <w:b/>
          <w:bCs/>
          <w:sz w:val="20"/>
          <w:szCs w:val="20"/>
        </w:rPr>
        <w:t>SÉRIE ÚNICA</w:t>
      </w:r>
      <w:r w:rsidR="00F10187" w:rsidRPr="00F10187">
        <w:rPr>
          <w:rFonts w:ascii="Montserrat" w:hAnsi="Montserrat" w:cs="Tahoma"/>
          <w:b/>
          <w:bCs/>
          <w:sz w:val="20"/>
          <w:szCs w:val="20"/>
        </w:rPr>
        <w:t xml:space="preserve"> DA </w:t>
      </w:r>
      <w:r w:rsidR="006250FF">
        <w:rPr>
          <w:rFonts w:ascii="Montserrat" w:hAnsi="Montserrat" w:cs="Tahoma"/>
          <w:b/>
          <w:bCs/>
          <w:sz w:val="20"/>
          <w:szCs w:val="20"/>
        </w:rPr>
        <w:t>27</w:t>
      </w:r>
      <w:r w:rsidR="00F10187" w:rsidRPr="00F10187">
        <w:rPr>
          <w:rFonts w:ascii="Montserrat" w:hAnsi="Montserrat" w:cs="Tahoma"/>
          <w:b/>
          <w:bCs/>
          <w:sz w:val="20"/>
          <w:szCs w:val="20"/>
        </w:rPr>
        <w:t>ª (</w:t>
      </w:r>
      <w:r w:rsidR="006250FF">
        <w:rPr>
          <w:rFonts w:ascii="Montserrat" w:hAnsi="Montserrat" w:cs="Tahoma"/>
          <w:b/>
          <w:bCs/>
          <w:sz w:val="20"/>
          <w:szCs w:val="20"/>
        </w:rPr>
        <w:t>VIGÉSIMA SÉTIMA</w:t>
      </w:r>
      <w:r w:rsidR="00F10187" w:rsidRPr="00F10187">
        <w:rPr>
          <w:rFonts w:ascii="Montserrat" w:hAnsi="Montserrat" w:cs="Tahoma"/>
          <w:b/>
          <w:bCs/>
          <w:sz w:val="20"/>
          <w:szCs w:val="20"/>
        </w:rPr>
        <w:t>) EMISSÃO DA</w:t>
      </w:r>
      <w:r w:rsidR="00F10187">
        <w:rPr>
          <w:rFonts w:ascii="Montserrat" w:hAnsi="Montserrat" w:cs="Tahoma"/>
          <w:b/>
          <w:bCs/>
          <w:sz w:val="20"/>
          <w:szCs w:val="20"/>
        </w:rPr>
        <w:t xml:space="preserve"> </w:t>
      </w:r>
    </w:p>
    <w:p w14:paraId="138299F0" w14:textId="77777777" w:rsidR="00F10187" w:rsidRDefault="00F10187" w:rsidP="00567CCE">
      <w:pPr>
        <w:spacing w:after="0" w:line="276" w:lineRule="auto"/>
        <w:jc w:val="center"/>
        <w:rPr>
          <w:rFonts w:ascii="Montserrat" w:hAnsi="Montserrat" w:cs="Tahoma"/>
          <w:b/>
          <w:bCs/>
          <w:sz w:val="20"/>
          <w:szCs w:val="20"/>
        </w:rPr>
      </w:pPr>
    </w:p>
    <w:p w14:paraId="1CA13DD1" w14:textId="1A624EC7" w:rsidR="00F10187" w:rsidRPr="00567CCE" w:rsidRDefault="00F10187" w:rsidP="00567CCE">
      <w:pPr>
        <w:spacing w:after="0" w:line="276" w:lineRule="auto"/>
        <w:jc w:val="center"/>
        <w:rPr>
          <w:rFonts w:ascii="Montserrat" w:hAnsi="Montserrat" w:cs="Tahoma"/>
          <w:b/>
          <w:bCs/>
          <w:sz w:val="20"/>
          <w:szCs w:val="20"/>
        </w:rPr>
      </w:pPr>
      <w:r>
        <w:rPr>
          <w:rFonts w:ascii="Montserrat" w:hAnsi="Montserrat" w:cs="Tahoma"/>
          <w:b/>
          <w:bCs/>
          <w:sz w:val="20"/>
          <w:szCs w:val="20"/>
        </w:rPr>
        <w:t>LEVERAGE COMPANHIA SECURITIZADORA</w:t>
      </w:r>
    </w:p>
    <w:p w14:paraId="48C8D924" w14:textId="4B7B4A49" w:rsidR="001A45A8" w:rsidRPr="00B77954" w:rsidRDefault="001A45A8" w:rsidP="00A701F7">
      <w:pPr>
        <w:spacing w:after="0" w:line="276" w:lineRule="auto"/>
        <w:jc w:val="center"/>
        <w:rPr>
          <w:rFonts w:ascii="Montserrat" w:hAnsi="Montserrat" w:cs="Tahoma"/>
          <w:sz w:val="20"/>
          <w:szCs w:val="20"/>
        </w:rPr>
      </w:pPr>
      <w:r w:rsidRPr="00B77954">
        <w:rPr>
          <w:rFonts w:ascii="Montserrat" w:hAnsi="Montserrat" w:cs="Tahoma"/>
          <w:sz w:val="20"/>
          <w:szCs w:val="20"/>
        </w:rPr>
        <w:t xml:space="preserve">Companhia Securitizadora </w:t>
      </w:r>
      <w:r w:rsidR="00213EB0" w:rsidRPr="00B77954">
        <w:rPr>
          <w:rFonts w:ascii="Montserrat" w:hAnsi="Montserrat" w:cs="Tahoma"/>
          <w:sz w:val="20"/>
          <w:szCs w:val="20"/>
        </w:rPr>
        <w:t>S1</w:t>
      </w:r>
      <w:r w:rsidRPr="00B77954">
        <w:rPr>
          <w:rFonts w:ascii="Montserrat" w:hAnsi="Montserrat" w:cs="Tahoma"/>
          <w:sz w:val="20"/>
          <w:szCs w:val="20"/>
        </w:rPr>
        <w:t xml:space="preserve">, registrada na CVM sob o n° </w:t>
      </w:r>
      <w:r w:rsidR="00213EB0" w:rsidRPr="00B77954">
        <w:rPr>
          <w:rFonts w:ascii="Montserrat" w:hAnsi="Montserrat" w:cs="Tahoma"/>
          <w:sz w:val="20"/>
          <w:szCs w:val="20"/>
        </w:rPr>
        <w:t>949</w:t>
      </w:r>
    </w:p>
    <w:p w14:paraId="3EC828CF" w14:textId="3D402024" w:rsidR="00097F26" w:rsidRPr="00B77954" w:rsidRDefault="00097F26" w:rsidP="00A701F7">
      <w:pPr>
        <w:spacing w:after="0" w:line="276" w:lineRule="auto"/>
        <w:jc w:val="center"/>
        <w:rPr>
          <w:rFonts w:ascii="Montserrat" w:hAnsi="Montserrat" w:cs="Tahoma"/>
          <w:sz w:val="20"/>
          <w:szCs w:val="20"/>
        </w:rPr>
      </w:pPr>
      <w:r w:rsidRPr="00B77954">
        <w:rPr>
          <w:rFonts w:ascii="Montserrat" w:hAnsi="Montserrat" w:cs="Tahoma"/>
          <w:sz w:val="20"/>
          <w:szCs w:val="20"/>
        </w:rPr>
        <w:t xml:space="preserve">CNPJ n° </w:t>
      </w:r>
      <w:r w:rsidR="00213EB0" w:rsidRPr="00B77954">
        <w:rPr>
          <w:rFonts w:ascii="Montserrat" w:hAnsi="Montserrat" w:cs="Tahoma"/>
          <w:sz w:val="20"/>
          <w:szCs w:val="20"/>
        </w:rPr>
        <w:t>48.415.978/0001-40</w:t>
      </w:r>
    </w:p>
    <w:p w14:paraId="56414B0F" w14:textId="77777777" w:rsidR="00E6200F" w:rsidRDefault="00213EB0" w:rsidP="000B43F4">
      <w:pPr>
        <w:spacing w:after="0" w:line="276" w:lineRule="auto"/>
        <w:jc w:val="center"/>
        <w:rPr>
          <w:rFonts w:ascii="Montserrat" w:hAnsi="Montserrat" w:cs="Tahoma"/>
          <w:sz w:val="20"/>
          <w:szCs w:val="20"/>
        </w:rPr>
      </w:pPr>
      <w:r w:rsidRPr="00B77954">
        <w:rPr>
          <w:rFonts w:ascii="Montserrat" w:hAnsi="Montserrat" w:cs="Tahoma"/>
          <w:sz w:val="20"/>
          <w:szCs w:val="20"/>
        </w:rPr>
        <w:t xml:space="preserve">Avenida Paulista, 1912, </w:t>
      </w:r>
      <w:r w:rsidR="00F10187">
        <w:rPr>
          <w:rFonts w:ascii="Montserrat" w:hAnsi="Montserrat" w:cs="Tahoma"/>
          <w:sz w:val="20"/>
          <w:szCs w:val="20"/>
        </w:rPr>
        <w:t>13</w:t>
      </w:r>
      <w:r w:rsidRPr="00B77954">
        <w:rPr>
          <w:rFonts w:ascii="Montserrat" w:hAnsi="Montserrat" w:cs="Tahoma"/>
          <w:sz w:val="20"/>
          <w:szCs w:val="20"/>
        </w:rPr>
        <w:t xml:space="preserve">º andar, sala </w:t>
      </w:r>
      <w:r w:rsidR="00F10187">
        <w:rPr>
          <w:rFonts w:ascii="Montserrat" w:hAnsi="Montserrat" w:cs="Tahoma"/>
          <w:sz w:val="20"/>
          <w:szCs w:val="20"/>
        </w:rPr>
        <w:t>132</w:t>
      </w:r>
      <w:r w:rsidRPr="00B77954">
        <w:rPr>
          <w:rFonts w:ascii="Montserrat" w:hAnsi="Montserrat" w:cs="Tahoma"/>
          <w:sz w:val="20"/>
          <w:szCs w:val="20"/>
        </w:rPr>
        <w:t>, Bela Vista, CEP 01310-924</w:t>
      </w:r>
      <w:r w:rsidR="00C85384">
        <w:rPr>
          <w:rFonts w:ascii="Montserrat" w:hAnsi="Montserrat" w:cs="Tahoma"/>
          <w:sz w:val="20"/>
          <w:szCs w:val="20"/>
        </w:rPr>
        <w:br/>
      </w:r>
      <w:r w:rsidR="00C85384">
        <w:rPr>
          <w:rFonts w:ascii="Montserrat" w:hAnsi="Montserrat" w:cs="Tahoma"/>
          <w:sz w:val="20"/>
          <w:szCs w:val="20"/>
        </w:rPr>
        <w:br/>
      </w:r>
      <w:r w:rsidR="00C85384" w:rsidRPr="00C85384">
        <w:rPr>
          <w:rFonts w:ascii="Montserrat" w:hAnsi="Montserrat" w:cs="Tahoma"/>
          <w:sz w:val="20"/>
          <w:szCs w:val="20"/>
        </w:rPr>
        <w:t xml:space="preserve">Lastreados em Créditos Imobiliários </w:t>
      </w:r>
      <w:r w:rsidR="00FC2BB9">
        <w:rPr>
          <w:rFonts w:ascii="Montserrat" w:hAnsi="Montserrat" w:cs="Tahoma"/>
          <w:sz w:val="20"/>
          <w:szCs w:val="20"/>
        </w:rPr>
        <w:t>c</w:t>
      </w:r>
      <w:r w:rsidR="00C85384" w:rsidRPr="00C85384">
        <w:rPr>
          <w:rFonts w:ascii="Montserrat" w:hAnsi="Montserrat" w:cs="Tahoma"/>
          <w:sz w:val="20"/>
          <w:szCs w:val="20"/>
        </w:rPr>
        <w:t>e</w:t>
      </w:r>
      <w:r w:rsidR="00FC2BB9">
        <w:rPr>
          <w:rFonts w:ascii="Montserrat" w:hAnsi="Montserrat" w:cs="Tahoma"/>
          <w:sz w:val="20"/>
          <w:szCs w:val="20"/>
        </w:rPr>
        <w:t>d</w:t>
      </w:r>
      <w:r w:rsidR="00C85384" w:rsidRPr="00C85384">
        <w:rPr>
          <w:rFonts w:ascii="Montserrat" w:hAnsi="Montserrat" w:cs="Tahoma"/>
          <w:sz w:val="20"/>
          <w:szCs w:val="20"/>
        </w:rPr>
        <w:t>idos pela</w:t>
      </w:r>
      <w:r w:rsidR="00FC2BB9">
        <w:rPr>
          <w:rFonts w:ascii="Montserrat" w:hAnsi="Montserrat" w:cs="Tahoma"/>
          <w:sz w:val="20"/>
          <w:szCs w:val="20"/>
        </w:rPr>
        <w:t>s</w:t>
      </w:r>
      <w:r w:rsidR="000B43F4">
        <w:rPr>
          <w:rFonts w:ascii="Montserrat" w:hAnsi="Montserrat" w:cs="Tahoma"/>
          <w:sz w:val="20"/>
          <w:szCs w:val="20"/>
        </w:rPr>
        <w:br/>
      </w:r>
    </w:p>
    <w:p w14:paraId="11850E32" w14:textId="77777777" w:rsidR="00E6200F" w:rsidRDefault="00E6200F" w:rsidP="000B43F4">
      <w:pPr>
        <w:spacing w:after="0" w:line="276" w:lineRule="auto"/>
        <w:jc w:val="center"/>
        <w:rPr>
          <w:rFonts w:ascii="Montserrat" w:hAnsi="Montserrat" w:cs="Tahoma"/>
          <w:sz w:val="20"/>
          <w:szCs w:val="20"/>
        </w:rPr>
      </w:pPr>
    </w:p>
    <w:p w14:paraId="72C2A437" w14:textId="77777777" w:rsidR="006250FF" w:rsidRDefault="000B43F4" w:rsidP="000B43F4">
      <w:pPr>
        <w:spacing w:after="0" w:line="276" w:lineRule="auto"/>
        <w:jc w:val="center"/>
        <w:rPr>
          <w:rFonts w:ascii="Montserrat" w:hAnsi="Montserrat" w:cs="Tahoma"/>
          <w:b/>
          <w:bCs/>
          <w:sz w:val="20"/>
          <w:szCs w:val="20"/>
        </w:rPr>
      </w:pPr>
      <w:r>
        <w:rPr>
          <w:rFonts w:ascii="Montserrat" w:hAnsi="Montserrat" w:cs="Tahoma"/>
          <w:sz w:val="20"/>
          <w:szCs w:val="20"/>
        </w:rPr>
        <w:br/>
      </w:r>
      <w:r w:rsidR="006250FF" w:rsidRPr="006250FF">
        <w:rPr>
          <w:rFonts w:ascii="Montserrat" w:hAnsi="Montserrat" w:cs="Tahoma"/>
          <w:b/>
          <w:bCs/>
          <w:sz w:val="20"/>
          <w:szCs w:val="20"/>
        </w:rPr>
        <w:t xml:space="preserve">SPE RESIDENCIAL JOANES PARQUE LTDA. </w:t>
      </w:r>
    </w:p>
    <w:p w14:paraId="6E47EAA4" w14:textId="77777777" w:rsidR="006250FF" w:rsidRDefault="000B43F4" w:rsidP="001C0CEC">
      <w:pPr>
        <w:spacing w:after="0" w:line="276" w:lineRule="auto"/>
        <w:jc w:val="center"/>
        <w:rPr>
          <w:rFonts w:ascii="Montserrat" w:hAnsi="Montserrat" w:cs="Tahoma"/>
          <w:sz w:val="20"/>
          <w:szCs w:val="20"/>
        </w:rPr>
      </w:pPr>
      <w:r w:rsidRPr="00C558FD">
        <w:rPr>
          <w:rFonts w:ascii="Montserrat" w:hAnsi="Montserrat" w:cs="Tahoma"/>
          <w:sz w:val="20"/>
          <w:szCs w:val="20"/>
        </w:rPr>
        <w:t xml:space="preserve">CNPJ nº </w:t>
      </w:r>
      <w:r w:rsidR="006250FF" w:rsidRPr="006250FF">
        <w:rPr>
          <w:rFonts w:ascii="Montserrat" w:hAnsi="Montserrat" w:cs="Tahoma"/>
          <w:sz w:val="20"/>
          <w:szCs w:val="20"/>
        </w:rPr>
        <w:t xml:space="preserve">48.933.997/0001-69 </w:t>
      </w:r>
    </w:p>
    <w:p w14:paraId="15D7127C" w14:textId="63F0175F" w:rsidR="001C0CEC" w:rsidRPr="001C0CEC" w:rsidRDefault="00027544" w:rsidP="001C0CEC">
      <w:pPr>
        <w:spacing w:after="0" w:line="276" w:lineRule="auto"/>
        <w:jc w:val="center"/>
        <w:rPr>
          <w:rFonts w:ascii="Montserrat" w:hAnsi="Montserrat" w:cs="Tahoma"/>
          <w:sz w:val="20"/>
          <w:szCs w:val="20"/>
          <w:highlight w:val="yellow"/>
        </w:rPr>
      </w:pPr>
      <w:r w:rsidRPr="00027544">
        <w:rPr>
          <w:rFonts w:ascii="Montserrat" w:hAnsi="Montserrat" w:cs="Tahoma"/>
          <w:sz w:val="20"/>
          <w:szCs w:val="20"/>
        </w:rPr>
        <w:t>Av</w:t>
      </w:r>
      <w:r w:rsidR="006250FF">
        <w:rPr>
          <w:rFonts w:ascii="Montserrat" w:hAnsi="Montserrat" w:cs="Tahoma"/>
          <w:sz w:val="20"/>
          <w:szCs w:val="20"/>
        </w:rPr>
        <w:t xml:space="preserve">. Assis Chateaubriand, 2015, Sala 06, Setor Oeste </w:t>
      </w:r>
    </w:p>
    <w:p w14:paraId="613F8851" w14:textId="412A618B" w:rsidR="00A23F2A" w:rsidRDefault="006250FF" w:rsidP="000B43F4">
      <w:pPr>
        <w:spacing w:after="0" w:line="276" w:lineRule="auto"/>
        <w:jc w:val="center"/>
        <w:rPr>
          <w:rFonts w:ascii="Montserrat" w:hAnsi="Montserrat" w:cs="Tahoma"/>
          <w:sz w:val="20"/>
          <w:szCs w:val="20"/>
        </w:rPr>
      </w:pPr>
      <w:r>
        <w:rPr>
          <w:rFonts w:ascii="Montserrat" w:hAnsi="Montserrat" w:cs="Tahoma"/>
          <w:sz w:val="20"/>
          <w:szCs w:val="20"/>
        </w:rPr>
        <w:t>Goiânia, Goiás,</w:t>
      </w:r>
      <w:r w:rsidR="00C558FD" w:rsidRPr="00C558FD">
        <w:rPr>
          <w:rFonts w:ascii="Montserrat" w:hAnsi="Montserrat" w:cs="Tahoma"/>
          <w:sz w:val="20"/>
          <w:szCs w:val="20"/>
        </w:rPr>
        <w:t xml:space="preserve"> CEP </w:t>
      </w:r>
      <w:r>
        <w:rPr>
          <w:rFonts w:ascii="Montserrat" w:hAnsi="Montserrat" w:cs="Tahoma"/>
          <w:sz w:val="20"/>
          <w:szCs w:val="20"/>
        </w:rPr>
        <w:t>74.130-012</w:t>
      </w:r>
    </w:p>
    <w:p w14:paraId="67BEC5AC" w14:textId="77777777" w:rsidR="00097F26" w:rsidRPr="00B77954" w:rsidRDefault="00097F26" w:rsidP="00A701F7">
      <w:pPr>
        <w:spacing w:after="0" w:line="276" w:lineRule="auto"/>
        <w:jc w:val="center"/>
        <w:rPr>
          <w:rFonts w:ascii="Montserrat" w:hAnsi="Montserrat" w:cs="Tahoma"/>
          <w:b/>
          <w:bCs/>
          <w:sz w:val="20"/>
          <w:szCs w:val="20"/>
        </w:rPr>
      </w:pPr>
    </w:p>
    <w:p w14:paraId="63C02DFD" w14:textId="14696CE7" w:rsidR="00FA51B4" w:rsidRPr="00FA51B4" w:rsidRDefault="00FA51B4" w:rsidP="00FA51B4">
      <w:pPr>
        <w:spacing w:after="0" w:line="276" w:lineRule="auto"/>
        <w:jc w:val="center"/>
        <w:rPr>
          <w:rFonts w:ascii="Montserrat" w:hAnsi="Montserrat" w:cs="Tahoma"/>
          <w:b/>
          <w:bCs/>
          <w:sz w:val="20"/>
          <w:szCs w:val="20"/>
        </w:rPr>
      </w:pPr>
      <w:r w:rsidRPr="00FA51B4">
        <w:rPr>
          <w:rFonts w:ascii="Montserrat" w:hAnsi="Montserrat" w:cs="Tahoma"/>
          <w:b/>
          <w:bCs/>
          <w:sz w:val="20"/>
          <w:szCs w:val="20"/>
        </w:rPr>
        <w:t>Perfazendo o montante total de até</w:t>
      </w:r>
    </w:p>
    <w:p w14:paraId="5EB13F70" w14:textId="4593D6B4" w:rsidR="00FA51B4" w:rsidRPr="00FA51B4" w:rsidRDefault="00FA51B4" w:rsidP="00FA51B4">
      <w:pPr>
        <w:spacing w:after="0" w:line="276" w:lineRule="auto"/>
        <w:jc w:val="center"/>
        <w:rPr>
          <w:rFonts w:ascii="Montserrat" w:hAnsi="Montserrat" w:cs="Tahoma"/>
          <w:b/>
          <w:bCs/>
          <w:sz w:val="20"/>
          <w:szCs w:val="20"/>
        </w:rPr>
      </w:pPr>
      <w:r w:rsidRPr="00FA51B4">
        <w:rPr>
          <w:rFonts w:ascii="Montserrat" w:hAnsi="Montserrat" w:cs="Tahoma"/>
          <w:b/>
          <w:bCs/>
          <w:sz w:val="20"/>
          <w:szCs w:val="20"/>
        </w:rPr>
        <w:t xml:space="preserve">R$ </w:t>
      </w:r>
      <w:r w:rsidR="006250FF">
        <w:rPr>
          <w:rFonts w:ascii="Montserrat" w:hAnsi="Montserrat" w:cs="Tahoma"/>
          <w:b/>
          <w:bCs/>
          <w:sz w:val="20"/>
          <w:szCs w:val="20"/>
        </w:rPr>
        <w:t>29.000.000,00</w:t>
      </w:r>
    </w:p>
    <w:p w14:paraId="2F42C08D" w14:textId="3634D739" w:rsidR="00097F26" w:rsidRDefault="00FA51B4" w:rsidP="00FA51B4">
      <w:pPr>
        <w:spacing w:after="0" w:line="276" w:lineRule="auto"/>
        <w:jc w:val="center"/>
        <w:rPr>
          <w:rFonts w:ascii="Montserrat" w:hAnsi="Montserrat" w:cs="Tahoma"/>
          <w:b/>
          <w:bCs/>
          <w:sz w:val="20"/>
          <w:szCs w:val="20"/>
        </w:rPr>
      </w:pPr>
      <w:r w:rsidRPr="00FA51B4">
        <w:rPr>
          <w:rFonts w:ascii="Montserrat" w:hAnsi="Montserrat" w:cs="Tahoma"/>
          <w:b/>
          <w:bCs/>
          <w:sz w:val="20"/>
          <w:szCs w:val="20"/>
        </w:rPr>
        <w:t>(</w:t>
      </w:r>
      <w:r w:rsidR="006250FF">
        <w:rPr>
          <w:rFonts w:ascii="Montserrat" w:hAnsi="Montserrat" w:cs="Tahoma"/>
          <w:b/>
          <w:bCs/>
          <w:sz w:val="20"/>
          <w:szCs w:val="20"/>
        </w:rPr>
        <w:t>vinte e nove</w:t>
      </w:r>
      <w:r w:rsidR="00F10187">
        <w:rPr>
          <w:rFonts w:ascii="Montserrat" w:hAnsi="Montserrat" w:cs="Tahoma"/>
          <w:b/>
          <w:bCs/>
          <w:sz w:val="20"/>
          <w:szCs w:val="20"/>
        </w:rPr>
        <w:t xml:space="preserve"> </w:t>
      </w:r>
      <w:r w:rsidRPr="00FA51B4">
        <w:rPr>
          <w:rFonts w:ascii="Montserrat" w:hAnsi="Montserrat" w:cs="Tahoma"/>
          <w:b/>
          <w:bCs/>
          <w:sz w:val="20"/>
          <w:szCs w:val="20"/>
        </w:rPr>
        <w:t xml:space="preserve">milhões </w:t>
      </w:r>
      <w:r w:rsidR="001C0CEC">
        <w:rPr>
          <w:rFonts w:ascii="Montserrat" w:hAnsi="Montserrat" w:cs="Tahoma"/>
          <w:b/>
          <w:bCs/>
          <w:sz w:val="20"/>
          <w:szCs w:val="20"/>
        </w:rPr>
        <w:t>de reais</w:t>
      </w:r>
      <w:r w:rsidRPr="00FA51B4">
        <w:rPr>
          <w:rFonts w:ascii="Montserrat" w:hAnsi="Montserrat" w:cs="Tahoma"/>
          <w:b/>
          <w:bCs/>
          <w:sz w:val="20"/>
          <w:szCs w:val="20"/>
        </w:rPr>
        <w:t>)</w:t>
      </w:r>
      <w:r>
        <w:rPr>
          <w:rFonts w:ascii="Montserrat" w:hAnsi="Montserrat" w:cs="Tahoma"/>
          <w:b/>
          <w:bCs/>
          <w:sz w:val="20"/>
          <w:szCs w:val="20"/>
        </w:rPr>
        <w:br/>
      </w:r>
    </w:p>
    <w:p w14:paraId="3F81D475" w14:textId="77777777" w:rsidR="00E6200F" w:rsidRDefault="00E6200F" w:rsidP="00FA51B4">
      <w:pPr>
        <w:spacing w:after="0" w:line="276" w:lineRule="auto"/>
        <w:jc w:val="center"/>
        <w:rPr>
          <w:rFonts w:ascii="Montserrat" w:hAnsi="Montserrat" w:cs="Tahoma"/>
          <w:b/>
          <w:bCs/>
          <w:sz w:val="20"/>
          <w:szCs w:val="20"/>
        </w:rPr>
      </w:pPr>
    </w:p>
    <w:p w14:paraId="17FE5664" w14:textId="77777777" w:rsidR="00E6200F" w:rsidRDefault="00E6200F" w:rsidP="00FA51B4">
      <w:pPr>
        <w:spacing w:after="0" w:line="276" w:lineRule="auto"/>
        <w:jc w:val="center"/>
        <w:rPr>
          <w:rFonts w:ascii="Montserrat" w:hAnsi="Montserrat" w:cs="Tahoma"/>
          <w:b/>
          <w:bCs/>
          <w:sz w:val="20"/>
          <w:szCs w:val="20"/>
        </w:rPr>
      </w:pPr>
    </w:p>
    <w:p w14:paraId="7DDF3C5A" w14:textId="77777777" w:rsidR="003E6307" w:rsidRPr="00B77954" w:rsidRDefault="003E6307" w:rsidP="003E6307">
      <w:pPr>
        <w:spacing w:after="0" w:line="276" w:lineRule="auto"/>
        <w:jc w:val="center"/>
        <w:rPr>
          <w:rFonts w:ascii="Montserrat" w:hAnsi="Montserrat" w:cs="Tahoma"/>
          <w:b/>
          <w:bCs/>
          <w:sz w:val="20"/>
          <w:szCs w:val="20"/>
        </w:rPr>
      </w:pPr>
    </w:p>
    <w:p w14:paraId="6F999777" w14:textId="77777777" w:rsidR="001C0CEC" w:rsidRPr="001C0CEC" w:rsidRDefault="001C0CEC" w:rsidP="001C0CEC">
      <w:pPr>
        <w:spacing w:after="0" w:line="276" w:lineRule="auto"/>
        <w:jc w:val="center"/>
        <w:rPr>
          <w:rFonts w:ascii="Montserrat" w:hAnsi="Montserrat" w:cs="Tahoma"/>
          <w:b/>
          <w:bCs/>
          <w:sz w:val="20"/>
          <w:szCs w:val="20"/>
        </w:rPr>
      </w:pPr>
    </w:p>
    <w:p w14:paraId="42335477" w14:textId="7FB86950" w:rsidR="00C34D15" w:rsidRDefault="001C0CEC" w:rsidP="001C0CEC">
      <w:pPr>
        <w:spacing w:after="0" w:line="276" w:lineRule="auto"/>
        <w:jc w:val="center"/>
        <w:rPr>
          <w:rFonts w:ascii="Montserrat" w:hAnsi="Montserrat" w:cs="Tahoma"/>
          <w:b/>
          <w:bCs/>
          <w:sz w:val="20"/>
          <w:szCs w:val="20"/>
        </w:rPr>
      </w:pPr>
      <w:r w:rsidRPr="001C0CEC">
        <w:rPr>
          <w:rFonts w:ascii="Montserrat" w:hAnsi="Montserrat" w:cs="Tahoma"/>
          <w:b/>
          <w:bCs/>
          <w:sz w:val="20"/>
          <w:szCs w:val="20"/>
        </w:rPr>
        <w:t xml:space="preserve"> Código ISIN dos CRI: </w:t>
      </w:r>
      <w:r w:rsidR="006250FF" w:rsidRPr="006250FF">
        <w:rPr>
          <w:rFonts w:ascii="Montserrat" w:hAnsi="Montserrat" w:cs="Tahoma"/>
          <w:b/>
          <w:bCs/>
          <w:sz w:val="20"/>
          <w:szCs w:val="20"/>
        </w:rPr>
        <w:t>BRLSECCRI1U9</w:t>
      </w:r>
    </w:p>
    <w:p w14:paraId="143E263B" w14:textId="77777777" w:rsidR="00E6200F" w:rsidRDefault="00E6200F" w:rsidP="00E6200F">
      <w:pPr>
        <w:spacing w:after="0" w:line="276" w:lineRule="auto"/>
        <w:rPr>
          <w:rFonts w:ascii="Montserrat" w:hAnsi="Montserrat" w:cs="Tahoma"/>
          <w:b/>
          <w:bCs/>
          <w:sz w:val="20"/>
          <w:szCs w:val="20"/>
        </w:rPr>
      </w:pPr>
    </w:p>
    <w:p w14:paraId="57E72061" w14:textId="77777777" w:rsidR="00E6200F" w:rsidRDefault="00E6200F" w:rsidP="003A5BA6">
      <w:pPr>
        <w:spacing w:after="0" w:line="276" w:lineRule="auto"/>
        <w:jc w:val="center"/>
        <w:rPr>
          <w:rFonts w:ascii="Montserrat" w:hAnsi="Montserrat" w:cs="Tahoma"/>
          <w:b/>
          <w:bCs/>
          <w:sz w:val="20"/>
          <w:szCs w:val="20"/>
        </w:rPr>
      </w:pPr>
    </w:p>
    <w:p w14:paraId="76E4E6E7" w14:textId="77777777" w:rsidR="00E6200F" w:rsidRDefault="00E6200F" w:rsidP="003A5BA6">
      <w:pPr>
        <w:spacing w:after="0" w:line="276" w:lineRule="auto"/>
        <w:jc w:val="center"/>
        <w:rPr>
          <w:rFonts w:ascii="Montserrat" w:hAnsi="Montserrat" w:cs="Tahoma"/>
          <w:b/>
          <w:bCs/>
          <w:sz w:val="20"/>
          <w:szCs w:val="20"/>
        </w:rPr>
      </w:pPr>
    </w:p>
    <w:p w14:paraId="7CF4030B" w14:textId="77777777" w:rsidR="00E6200F" w:rsidRDefault="00E6200F" w:rsidP="003A5BA6">
      <w:pPr>
        <w:spacing w:after="0" w:line="276" w:lineRule="auto"/>
        <w:jc w:val="center"/>
        <w:rPr>
          <w:rFonts w:ascii="Montserrat" w:hAnsi="Montserrat" w:cs="Tahoma"/>
          <w:b/>
          <w:bCs/>
          <w:sz w:val="20"/>
          <w:szCs w:val="20"/>
        </w:rPr>
      </w:pPr>
    </w:p>
    <w:p w14:paraId="0F8B5F30" w14:textId="77777777" w:rsidR="00C34D15" w:rsidRPr="003A5BA6" w:rsidRDefault="00C34D15" w:rsidP="003A5BA6">
      <w:pPr>
        <w:spacing w:after="0" w:line="276" w:lineRule="auto"/>
        <w:jc w:val="center"/>
        <w:rPr>
          <w:rFonts w:ascii="Montserrat" w:hAnsi="Montserrat" w:cs="Tahoma"/>
          <w:b/>
          <w:bCs/>
          <w:sz w:val="20"/>
          <w:szCs w:val="20"/>
        </w:rPr>
      </w:pPr>
    </w:p>
    <w:p w14:paraId="70780619" w14:textId="17451A1F" w:rsidR="009810E8" w:rsidRPr="006250FF" w:rsidRDefault="003A5BA6" w:rsidP="009810E8">
      <w:pPr>
        <w:spacing w:after="0" w:line="276" w:lineRule="auto"/>
        <w:jc w:val="center"/>
        <w:rPr>
          <w:rFonts w:ascii="Montserrat" w:hAnsi="Montserrat" w:cs="Tahoma"/>
          <w:b/>
          <w:bCs/>
          <w:sz w:val="20"/>
          <w:szCs w:val="20"/>
        </w:rPr>
      </w:pPr>
      <w:r w:rsidRPr="003A5BA6">
        <w:rPr>
          <w:rFonts w:ascii="Montserrat" w:hAnsi="Montserrat" w:cs="Tahoma"/>
          <w:b/>
          <w:bCs/>
          <w:sz w:val="20"/>
          <w:szCs w:val="20"/>
        </w:rPr>
        <w:t>O REGISTRO DA OFERTA DOS CRI FOI CONCEDIDO AUTOMATICAMENTE</w:t>
      </w:r>
      <w:r w:rsidR="00826C10">
        <w:rPr>
          <w:rFonts w:ascii="Montserrat" w:hAnsi="Montserrat" w:cs="Tahoma"/>
          <w:b/>
          <w:bCs/>
          <w:sz w:val="20"/>
          <w:szCs w:val="20"/>
        </w:rPr>
        <w:br/>
      </w:r>
      <w:r w:rsidRPr="003A5BA6">
        <w:rPr>
          <w:rFonts w:ascii="Montserrat" w:hAnsi="Montserrat" w:cs="Tahoma"/>
          <w:b/>
          <w:bCs/>
          <w:sz w:val="20"/>
          <w:szCs w:val="20"/>
        </w:rPr>
        <w:t xml:space="preserve">PELA CVM EM </w:t>
      </w:r>
      <w:r w:rsidR="006250FF">
        <w:rPr>
          <w:rFonts w:ascii="Montserrat" w:hAnsi="Montserrat" w:cs="Tahoma"/>
          <w:b/>
          <w:bCs/>
          <w:sz w:val="20"/>
          <w:szCs w:val="20"/>
        </w:rPr>
        <w:t>03</w:t>
      </w:r>
      <w:r w:rsidR="00F10187">
        <w:rPr>
          <w:rFonts w:ascii="Montserrat" w:hAnsi="Montserrat" w:cs="Tahoma"/>
          <w:b/>
          <w:bCs/>
          <w:sz w:val="20"/>
          <w:szCs w:val="20"/>
        </w:rPr>
        <w:t xml:space="preserve"> DE </w:t>
      </w:r>
      <w:r w:rsidR="001C0CEC">
        <w:rPr>
          <w:rFonts w:ascii="Montserrat" w:hAnsi="Montserrat" w:cs="Tahoma"/>
          <w:b/>
          <w:bCs/>
          <w:sz w:val="20"/>
          <w:szCs w:val="20"/>
        </w:rPr>
        <w:t>FEVEREIRO</w:t>
      </w:r>
      <w:r w:rsidR="00F10187">
        <w:rPr>
          <w:rFonts w:ascii="Montserrat" w:hAnsi="Montserrat" w:cs="Tahoma"/>
          <w:b/>
          <w:bCs/>
          <w:sz w:val="20"/>
          <w:szCs w:val="20"/>
        </w:rPr>
        <w:t xml:space="preserve"> DE </w:t>
      </w:r>
      <w:r w:rsidRPr="003A5BA6">
        <w:rPr>
          <w:rFonts w:ascii="Montserrat" w:hAnsi="Montserrat" w:cs="Tahoma"/>
          <w:b/>
          <w:bCs/>
          <w:sz w:val="20"/>
          <w:szCs w:val="20"/>
        </w:rPr>
        <w:t>202</w:t>
      </w:r>
      <w:r w:rsidR="00F10187">
        <w:rPr>
          <w:rFonts w:ascii="Montserrat" w:hAnsi="Montserrat" w:cs="Tahoma"/>
          <w:b/>
          <w:bCs/>
          <w:sz w:val="20"/>
          <w:szCs w:val="20"/>
        </w:rPr>
        <w:t>5</w:t>
      </w:r>
      <w:r w:rsidR="006250FF">
        <w:rPr>
          <w:rFonts w:ascii="Montserrat" w:hAnsi="Montserrat" w:cs="Tahoma"/>
          <w:b/>
          <w:bCs/>
          <w:sz w:val="20"/>
          <w:szCs w:val="20"/>
        </w:rPr>
        <w:t xml:space="preserve">, SOB O NÚMERO </w:t>
      </w:r>
      <w:r w:rsidR="006250FF" w:rsidRPr="00926D26">
        <w:rPr>
          <w:rFonts w:ascii="Montserrat" w:hAnsi="Montserrat" w:cs="Tahoma"/>
          <w:b/>
          <w:bCs/>
          <w:sz w:val="20"/>
          <w:szCs w:val="20"/>
        </w:rPr>
        <w:t>CVM/SRE/AUT/CRI/PRI/2025/046.</w:t>
      </w:r>
    </w:p>
    <w:p w14:paraId="148CD940" w14:textId="0C905F26" w:rsidR="00221387" w:rsidRPr="00926D26" w:rsidRDefault="00221387" w:rsidP="00E6200F">
      <w:pPr>
        <w:spacing w:after="0" w:line="276" w:lineRule="auto"/>
        <w:rPr>
          <w:rFonts w:ascii="Montserrat" w:hAnsi="Montserrat" w:cs="Tahoma"/>
          <w:sz w:val="20"/>
          <w:szCs w:val="20"/>
        </w:rPr>
      </w:pPr>
    </w:p>
    <w:p w14:paraId="4501BFAE" w14:textId="77777777" w:rsidR="00C558FD" w:rsidRPr="00926D26" w:rsidRDefault="00C558FD" w:rsidP="00E6200F">
      <w:pPr>
        <w:spacing w:after="0" w:line="276" w:lineRule="auto"/>
        <w:rPr>
          <w:rFonts w:ascii="Montserrat" w:hAnsi="Montserrat" w:cs="Tahoma"/>
          <w:sz w:val="20"/>
          <w:szCs w:val="20"/>
        </w:rPr>
      </w:pPr>
    </w:p>
    <w:p w14:paraId="324D0E18" w14:textId="77777777" w:rsidR="006250FF" w:rsidRPr="00926D26" w:rsidRDefault="006250FF" w:rsidP="00E6200F">
      <w:pPr>
        <w:spacing w:after="0" w:line="276" w:lineRule="auto"/>
        <w:rPr>
          <w:rFonts w:ascii="Montserrat" w:hAnsi="Montserrat" w:cs="Tahoma"/>
          <w:sz w:val="20"/>
          <w:szCs w:val="20"/>
        </w:rPr>
      </w:pPr>
    </w:p>
    <w:p w14:paraId="319C0D20" w14:textId="77777777" w:rsidR="006250FF" w:rsidRPr="00926D26" w:rsidRDefault="006250FF" w:rsidP="00E6200F">
      <w:pPr>
        <w:spacing w:after="0" w:line="276" w:lineRule="auto"/>
        <w:rPr>
          <w:rFonts w:ascii="Montserrat" w:hAnsi="Montserrat" w:cs="Tahoma"/>
          <w:sz w:val="20"/>
          <w:szCs w:val="20"/>
        </w:rPr>
      </w:pPr>
    </w:p>
    <w:p w14:paraId="59976916" w14:textId="77777777" w:rsidR="00C558FD" w:rsidRPr="00926D26" w:rsidRDefault="00C558FD" w:rsidP="00E6200F">
      <w:pPr>
        <w:spacing w:after="0" w:line="276" w:lineRule="auto"/>
        <w:rPr>
          <w:rFonts w:ascii="Montserrat" w:hAnsi="Montserrat" w:cs="Tahoma"/>
          <w:sz w:val="20"/>
          <w:szCs w:val="20"/>
        </w:rPr>
      </w:pPr>
    </w:p>
    <w:p w14:paraId="4C08A965" w14:textId="77777777" w:rsidR="00C558FD" w:rsidRPr="00926D26" w:rsidRDefault="00C558FD" w:rsidP="00E6200F">
      <w:pPr>
        <w:spacing w:after="0" w:line="276" w:lineRule="auto"/>
        <w:rPr>
          <w:rFonts w:ascii="Montserrat" w:hAnsi="Montserrat" w:cs="Tahoma"/>
          <w:sz w:val="20"/>
          <w:szCs w:val="20"/>
        </w:rPr>
      </w:pPr>
    </w:p>
    <w:p w14:paraId="76D7A8FD" w14:textId="5D82848C" w:rsidR="00FA3EFD" w:rsidRPr="006250FF" w:rsidRDefault="001B0697" w:rsidP="006250FF">
      <w:pPr>
        <w:spacing w:after="0" w:line="276" w:lineRule="auto"/>
        <w:jc w:val="both"/>
        <w:rPr>
          <w:rFonts w:ascii="Montserrat" w:hAnsi="Montserrat" w:cs="Tahoma"/>
          <w:sz w:val="20"/>
          <w:szCs w:val="20"/>
        </w:rPr>
      </w:pPr>
      <w:r w:rsidRPr="00B77954">
        <w:rPr>
          <w:rFonts w:ascii="Montserrat" w:hAnsi="Montserrat" w:cs="Tahoma"/>
          <w:b/>
          <w:bCs/>
          <w:sz w:val="20"/>
          <w:szCs w:val="20"/>
        </w:rPr>
        <w:lastRenderedPageBreak/>
        <w:t xml:space="preserve">LEVERAGE </w:t>
      </w:r>
      <w:r w:rsidR="00097F26" w:rsidRPr="00B77954">
        <w:rPr>
          <w:rFonts w:ascii="Montserrat" w:hAnsi="Montserrat" w:cs="Tahoma"/>
          <w:b/>
          <w:bCs/>
          <w:sz w:val="20"/>
          <w:szCs w:val="20"/>
        </w:rPr>
        <w:t>COMPANHIA SECURITIZADORA</w:t>
      </w:r>
      <w:r w:rsidR="006B6D95" w:rsidRPr="00F002AF">
        <w:rPr>
          <w:rFonts w:ascii="Montserrat" w:hAnsi="Montserrat"/>
          <w:color w:val="000000" w:themeColor="text1"/>
          <w:sz w:val="20"/>
          <w:szCs w:val="20"/>
        </w:rPr>
        <w:t xml:space="preserve">, sociedade por </w:t>
      </w:r>
      <w:r w:rsidR="006B6D95" w:rsidRPr="00F002AF">
        <w:rPr>
          <w:rStyle w:val="normaltextrun"/>
          <w:rFonts w:ascii="Montserrat" w:hAnsi="Montserrat"/>
          <w:sz w:val="20"/>
          <w:szCs w:val="20"/>
        </w:rPr>
        <w:t xml:space="preserve">ações com registro de companhia </w:t>
      </w:r>
      <w:r w:rsidR="008D70C2">
        <w:rPr>
          <w:rStyle w:val="normaltextrun"/>
          <w:rFonts w:ascii="Montserrat" w:hAnsi="Montserrat"/>
          <w:sz w:val="20"/>
          <w:szCs w:val="20"/>
        </w:rPr>
        <w:t xml:space="preserve">securitizadora </w:t>
      </w:r>
      <w:r w:rsidR="006B6D95" w:rsidRPr="00F002AF">
        <w:rPr>
          <w:rStyle w:val="normaltextrun"/>
          <w:rFonts w:ascii="Montserrat" w:hAnsi="Montserrat"/>
          <w:sz w:val="20"/>
          <w:szCs w:val="20"/>
        </w:rPr>
        <w:t>perante a Comissão de Valores Mobiliários (“</w:t>
      </w:r>
      <w:r w:rsidR="006B6D95" w:rsidRPr="00926D26">
        <w:rPr>
          <w:rStyle w:val="normaltextrun"/>
          <w:rFonts w:ascii="Montserrat" w:hAnsi="Montserrat"/>
          <w:b/>
          <w:bCs/>
          <w:sz w:val="20"/>
          <w:szCs w:val="20"/>
          <w:u w:val="single"/>
        </w:rPr>
        <w:t>CVM</w:t>
      </w:r>
      <w:r w:rsidR="006B6D95" w:rsidRPr="00F002AF">
        <w:rPr>
          <w:rStyle w:val="normaltextrun"/>
          <w:rFonts w:ascii="Montserrat" w:hAnsi="Montserrat"/>
          <w:sz w:val="20"/>
          <w:szCs w:val="20"/>
        </w:rPr>
        <w:t xml:space="preserve">”) na categoria “S1”, sob o nº 949, </w:t>
      </w:r>
      <w:r w:rsidR="006B6D95" w:rsidRPr="00F002AF">
        <w:rPr>
          <w:rFonts w:ascii="Montserrat" w:hAnsi="Montserrat" w:cs="Leelawadee"/>
          <w:sz w:val="20"/>
          <w:szCs w:val="20"/>
        </w:rPr>
        <w:t xml:space="preserve">com sede na cidade de São Paulo, estado de São Paulo, na Avenida Paulista, 1.912, </w:t>
      </w:r>
      <w:r w:rsidR="00F10187">
        <w:rPr>
          <w:rFonts w:ascii="Montserrat" w:hAnsi="Montserrat" w:cs="Leelawadee"/>
          <w:sz w:val="20"/>
          <w:szCs w:val="20"/>
        </w:rPr>
        <w:t>13</w:t>
      </w:r>
      <w:r w:rsidR="006B6D95" w:rsidRPr="00F002AF">
        <w:rPr>
          <w:rFonts w:ascii="Montserrat" w:hAnsi="Montserrat" w:cs="Leelawadee"/>
          <w:sz w:val="20"/>
          <w:szCs w:val="20"/>
        </w:rPr>
        <w:t xml:space="preserve">° andar, sala </w:t>
      </w:r>
      <w:r w:rsidR="00F10187">
        <w:rPr>
          <w:rFonts w:ascii="Montserrat" w:hAnsi="Montserrat" w:cs="Leelawadee"/>
          <w:sz w:val="20"/>
          <w:szCs w:val="20"/>
        </w:rPr>
        <w:t>132</w:t>
      </w:r>
      <w:r w:rsidR="006B6D95" w:rsidRPr="00F002AF">
        <w:rPr>
          <w:rFonts w:ascii="Montserrat" w:hAnsi="Montserrat" w:cs="Leelawadee"/>
          <w:sz w:val="20"/>
          <w:szCs w:val="20"/>
        </w:rPr>
        <w:t xml:space="preserve">, Bela Vista, CEP 01310-924, </w:t>
      </w:r>
      <w:r w:rsidR="006B6D95" w:rsidRPr="00F002AF">
        <w:rPr>
          <w:rStyle w:val="normaltextrun"/>
          <w:rFonts w:ascii="Montserrat" w:hAnsi="Montserrat"/>
          <w:sz w:val="20"/>
          <w:szCs w:val="20"/>
        </w:rPr>
        <w:t>inscrita no</w:t>
      </w:r>
      <w:r w:rsidR="006B6D95">
        <w:rPr>
          <w:rStyle w:val="normaltextrun"/>
          <w:rFonts w:ascii="Montserrat" w:hAnsi="Montserrat"/>
          <w:sz w:val="20"/>
          <w:szCs w:val="20"/>
        </w:rPr>
        <w:t xml:space="preserve"> </w:t>
      </w:r>
      <w:r w:rsidR="006B6D95" w:rsidRPr="006670AC">
        <w:rPr>
          <w:rFonts w:ascii="Montserrat" w:hAnsi="Montserrat" w:cs="Tahoma"/>
          <w:sz w:val="20"/>
          <w:szCs w:val="20"/>
        </w:rPr>
        <w:t>Cadastro Nacional da Pessoa Jurídica do Ministério da Fazenda (“</w:t>
      </w:r>
      <w:r w:rsidR="006B6D95" w:rsidRPr="00926D26">
        <w:rPr>
          <w:rFonts w:ascii="Montserrat" w:hAnsi="Montserrat" w:cs="Tahoma"/>
          <w:b/>
          <w:bCs/>
          <w:sz w:val="20"/>
          <w:szCs w:val="20"/>
          <w:u w:val="single"/>
        </w:rPr>
        <w:t>CNPJ</w:t>
      </w:r>
      <w:r w:rsidR="006B6D95" w:rsidRPr="006670AC">
        <w:rPr>
          <w:rFonts w:ascii="Montserrat" w:hAnsi="Montserrat" w:cs="Tahoma"/>
          <w:sz w:val="20"/>
          <w:szCs w:val="20"/>
        </w:rPr>
        <w:t xml:space="preserve">”) sob o nº </w:t>
      </w:r>
      <w:r w:rsidR="006B6D95" w:rsidRPr="00F002AF">
        <w:rPr>
          <w:rStyle w:val="normaltextrun"/>
          <w:rFonts w:ascii="Montserrat" w:hAnsi="Montserrat"/>
          <w:sz w:val="20"/>
          <w:szCs w:val="20"/>
        </w:rPr>
        <w:t>48.415.978/0001-40</w:t>
      </w:r>
      <w:r w:rsidR="006B6D95" w:rsidRPr="006670AC">
        <w:rPr>
          <w:rFonts w:ascii="Montserrat" w:hAnsi="Montserrat" w:cs="Tahoma"/>
          <w:sz w:val="20"/>
          <w:szCs w:val="20"/>
        </w:rPr>
        <w:t xml:space="preserve"> (</w:t>
      </w:r>
      <w:r w:rsidR="000919E3" w:rsidRPr="000919E3">
        <w:rPr>
          <w:rFonts w:ascii="Montserrat" w:hAnsi="Montserrat" w:cs="Tahoma"/>
          <w:sz w:val="20"/>
          <w:szCs w:val="20"/>
        </w:rPr>
        <w:t>“</w:t>
      </w:r>
      <w:r w:rsidR="000919E3" w:rsidRPr="000919E3">
        <w:rPr>
          <w:rFonts w:ascii="Montserrat" w:hAnsi="Montserrat" w:cs="Tahoma"/>
          <w:b/>
          <w:bCs/>
          <w:sz w:val="20"/>
          <w:szCs w:val="20"/>
          <w:u w:val="single"/>
        </w:rPr>
        <w:t>Emissora</w:t>
      </w:r>
      <w:r w:rsidR="000919E3" w:rsidRPr="000919E3">
        <w:rPr>
          <w:rFonts w:ascii="Montserrat" w:hAnsi="Montserrat" w:cs="Tahoma"/>
          <w:sz w:val="20"/>
          <w:szCs w:val="20"/>
        </w:rPr>
        <w:t xml:space="preserve">” ou </w:t>
      </w:r>
      <w:r w:rsidR="006B6D95" w:rsidRPr="006670AC">
        <w:rPr>
          <w:rFonts w:ascii="Montserrat" w:hAnsi="Montserrat" w:cs="Tahoma"/>
          <w:sz w:val="20"/>
          <w:szCs w:val="20"/>
        </w:rPr>
        <w:t>“</w:t>
      </w:r>
      <w:r w:rsidR="006B6D95" w:rsidRPr="002830CF">
        <w:rPr>
          <w:rFonts w:ascii="Montserrat" w:hAnsi="Montserrat" w:cs="Tahoma"/>
          <w:b/>
          <w:bCs/>
          <w:sz w:val="20"/>
          <w:szCs w:val="20"/>
          <w:u w:val="single"/>
        </w:rPr>
        <w:t>Securitizadora</w:t>
      </w:r>
      <w:r w:rsidR="006B6D95" w:rsidRPr="006670AC">
        <w:rPr>
          <w:rFonts w:ascii="Montserrat" w:hAnsi="Montserrat" w:cs="Tahoma"/>
          <w:sz w:val="20"/>
          <w:szCs w:val="20"/>
        </w:rPr>
        <w:t>”),</w:t>
      </w:r>
      <w:r w:rsidR="0034217A">
        <w:rPr>
          <w:rFonts w:ascii="Montserrat" w:hAnsi="Montserrat" w:cs="Tahoma"/>
          <w:sz w:val="20"/>
          <w:szCs w:val="20"/>
        </w:rPr>
        <w:t xml:space="preserve"> </w:t>
      </w:r>
      <w:r w:rsidR="00FF71AF">
        <w:rPr>
          <w:rFonts w:ascii="Montserrat" w:hAnsi="Montserrat" w:cs="Tahoma"/>
          <w:sz w:val="20"/>
          <w:szCs w:val="20"/>
        </w:rPr>
        <w:t xml:space="preserve">vem anunciar </w:t>
      </w:r>
      <w:r w:rsidR="0034217A" w:rsidRPr="0034217A">
        <w:rPr>
          <w:rFonts w:ascii="Montserrat" w:hAnsi="Montserrat" w:cs="Tahoma"/>
          <w:sz w:val="20"/>
          <w:szCs w:val="20"/>
        </w:rPr>
        <w:t xml:space="preserve">o </w:t>
      </w:r>
      <w:r w:rsidR="0034217A" w:rsidRPr="002343C0">
        <w:rPr>
          <w:rFonts w:ascii="Montserrat" w:hAnsi="Montserrat" w:cs="Tahoma"/>
          <w:sz w:val="20"/>
          <w:szCs w:val="20"/>
        </w:rPr>
        <w:t>encerramento da oferta pública de distribuição de</w:t>
      </w:r>
      <w:r w:rsidR="006250FF">
        <w:rPr>
          <w:rFonts w:ascii="Montserrat" w:hAnsi="Montserrat" w:cs="Tahoma"/>
          <w:sz w:val="20"/>
          <w:szCs w:val="20"/>
        </w:rPr>
        <w:t xml:space="preserve"> </w:t>
      </w:r>
      <w:r w:rsidR="006250FF" w:rsidRPr="006250FF">
        <w:rPr>
          <w:rFonts w:ascii="Montserrat" w:hAnsi="Montserrat" w:cs="Tahoma"/>
          <w:sz w:val="20"/>
          <w:szCs w:val="20"/>
        </w:rPr>
        <w:t>29.000 (vinte e nove mil) certificados de recebíveis imobiliários da Série Única da 27ª (vigésima sétima) emissão da Emissora (“</w:t>
      </w:r>
      <w:r w:rsidR="006250FF" w:rsidRPr="00926D26">
        <w:rPr>
          <w:rFonts w:ascii="Montserrat" w:hAnsi="Montserrat" w:cs="Tahoma"/>
          <w:b/>
          <w:bCs/>
          <w:sz w:val="20"/>
          <w:szCs w:val="20"/>
          <w:u w:val="single"/>
        </w:rPr>
        <w:t>CRI</w:t>
      </w:r>
      <w:r w:rsidR="006250FF" w:rsidRPr="006250FF">
        <w:rPr>
          <w:rFonts w:ascii="Montserrat" w:hAnsi="Montserrat" w:cs="Tahoma"/>
          <w:sz w:val="20"/>
          <w:szCs w:val="20"/>
        </w:rPr>
        <w:t>” e “</w:t>
      </w:r>
      <w:r w:rsidR="006250FF" w:rsidRPr="00926D26">
        <w:rPr>
          <w:rFonts w:ascii="Montserrat" w:hAnsi="Montserrat" w:cs="Tahoma"/>
          <w:b/>
          <w:bCs/>
          <w:sz w:val="20"/>
          <w:szCs w:val="20"/>
          <w:u w:val="single"/>
        </w:rPr>
        <w:t>Emissão</w:t>
      </w:r>
      <w:r w:rsidR="006250FF" w:rsidRPr="006250FF">
        <w:rPr>
          <w:rFonts w:ascii="Montserrat" w:hAnsi="Montserrat" w:cs="Tahoma"/>
          <w:sz w:val="20"/>
          <w:szCs w:val="20"/>
        </w:rPr>
        <w:t>”, respectivamente), com valor nominal unitário de R$ 1.000,00 (mil reais) (“</w:t>
      </w:r>
      <w:r w:rsidR="006250FF" w:rsidRPr="00926D26">
        <w:rPr>
          <w:rFonts w:ascii="Montserrat" w:hAnsi="Montserrat" w:cs="Tahoma"/>
          <w:b/>
          <w:bCs/>
          <w:sz w:val="20"/>
          <w:szCs w:val="20"/>
          <w:u w:val="single"/>
        </w:rPr>
        <w:t>Valor Nominal Unitário</w:t>
      </w:r>
      <w:r w:rsidR="006250FF" w:rsidRPr="006250FF">
        <w:rPr>
          <w:rFonts w:ascii="Montserrat" w:hAnsi="Montserrat" w:cs="Tahoma"/>
          <w:sz w:val="20"/>
          <w:szCs w:val="20"/>
        </w:rPr>
        <w:t>”), perfazendo o montante total de R$ 29.000.000,00 (vinte e nove milhões de reais)</w:t>
      </w:r>
      <w:r w:rsidR="0034217A" w:rsidRPr="002343C0">
        <w:rPr>
          <w:rFonts w:ascii="Montserrat" w:hAnsi="Montserrat" w:cs="Tahoma"/>
          <w:sz w:val="20"/>
          <w:szCs w:val="20"/>
        </w:rPr>
        <w:t>, realizada em conformidade com a Resolução CVM 160, a Lei nº 11.076, de 30 de dezembro de 2004, conforme em vigor, a Lei nº 14.430, de 03 de agosto de 2022, conforme em vigor, e a Resolução da CVM nº 60, de 23 de dezembro de 2021, conforme em vigor (“</w:t>
      </w:r>
      <w:r w:rsidR="0034217A" w:rsidRPr="00926D26">
        <w:rPr>
          <w:rFonts w:ascii="Montserrat" w:hAnsi="Montserrat" w:cs="Tahoma"/>
          <w:b/>
          <w:bCs/>
          <w:sz w:val="20"/>
          <w:szCs w:val="20"/>
          <w:u w:val="single"/>
        </w:rPr>
        <w:t>Oferta</w:t>
      </w:r>
      <w:r w:rsidR="0034217A" w:rsidRPr="002343C0">
        <w:rPr>
          <w:rFonts w:ascii="Montserrat" w:hAnsi="Montserrat" w:cs="Tahoma"/>
          <w:sz w:val="20"/>
          <w:szCs w:val="20"/>
        </w:rPr>
        <w:t xml:space="preserve">”). A presente Oferta foi registrada na CVM sob nº </w:t>
      </w:r>
      <w:r w:rsidR="00D80D46" w:rsidRPr="002343C0">
        <w:rPr>
          <w:rFonts w:ascii="Montserrat" w:hAnsi="Montserrat" w:cs="Tahoma"/>
          <w:sz w:val="20"/>
          <w:szCs w:val="20"/>
        </w:rPr>
        <w:t>CVM/SRE/AUT/CRI/PRI/2025/</w:t>
      </w:r>
      <w:r w:rsidR="006250FF">
        <w:rPr>
          <w:rFonts w:ascii="Montserrat" w:hAnsi="Montserrat" w:cs="Tahoma"/>
          <w:sz w:val="20"/>
          <w:szCs w:val="20"/>
        </w:rPr>
        <w:t xml:space="preserve">046, em 03 </w:t>
      </w:r>
      <w:r w:rsidR="0034217A" w:rsidRPr="0034217A">
        <w:rPr>
          <w:rFonts w:ascii="Montserrat" w:hAnsi="Montserrat" w:cs="Tahoma"/>
          <w:sz w:val="20"/>
          <w:szCs w:val="20"/>
        </w:rPr>
        <w:t xml:space="preserve">de </w:t>
      </w:r>
      <w:r w:rsidR="00D80D46">
        <w:rPr>
          <w:rFonts w:ascii="Montserrat" w:hAnsi="Montserrat" w:cs="Tahoma"/>
          <w:sz w:val="20"/>
          <w:szCs w:val="20"/>
        </w:rPr>
        <w:t>fevereiro</w:t>
      </w:r>
      <w:r w:rsidR="0034217A" w:rsidRPr="0034217A">
        <w:rPr>
          <w:rFonts w:ascii="Montserrat" w:hAnsi="Montserrat" w:cs="Tahoma"/>
          <w:sz w:val="20"/>
          <w:szCs w:val="20"/>
        </w:rPr>
        <w:t xml:space="preserve"> de 202</w:t>
      </w:r>
      <w:r w:rsidR="0023386B">
        <w:rPr>
          <w:rFonts w:ascii="Montserrat" w:hAnsi="Montserrat" w:cs="Tahoma"/>
          <w:sz w:val="20"/>
          <w:szCs w:val="20"/>
        </w:rPr>
        <w:t>5</w:t>
      </w:r>
      <w:r w:rsidR="0034217A" w:rsidRPr="0034217A">
        <w:rPr>
          <w:rFonts w:ascii="Montserrat" w:hAnsi="Montserrat" w:cs="Tahoma"/>
          <w:sz w:val="20"/>
          <w:szCs w:val="20"/>
        </w:rPr>
        <w:t>, sob o rito de registro automático, com dispensa de análise prévia pela CVM, por se tratar de oferta de CRI emitidos por companhia securitizadora registrada perante a CVM, destinada exclusivamente a Investidores Profissionais, nos termos do artigo 26, inciso VIII, alínea (a), da Resolução CVM 160.</w:t>
      </w:r>
    </w:p>
    <w:p w14:paraId="0FE7E435" w14:textId="39E181AC" w:rsidR="00675D89" w:rsidRPr="00F53B33" w:rsidRDefault="005E7B91" w:rsidP="00675D89">
      <w:pPr>
        <w:pStyle w:val="TITULOITENS"/>
        <w:pBdr>
          <w:bottom w:val="none" w:sz="0" w:space="0" w:color="auto"/>
        </w:pBdr>
        <w:spacing w:before="480" w:after="0"/>
        <w:rPr>
          <w:rFonts w:ascii="Montserrat" w:hAnsi="Montserrat" w:cs="Tahoma"/>
          <w:color w:val="9E36EF"/>
          <w:szCs w:val="24"/>
        </w:rPr>
      </w:pPr>
      <w:r>
        <w:rPr>
          <w:rFonts w:ascii="Montserrat" w:hAnsi="Montserrat" w:cs="Tahoma"/>
          <w:color w:val="9E36EF"/>
          <w:szCs w:val="24"/>
        </w:rPr>
        <w:t xml:space="preserve">TERMOS E </w:t>
      </w:r>
      <w:r w:rsidR="00675D89" w:rsidRPr="00F53B33">
        <w:rPr>
          <w:rFonts w:ascii="Montserrat" w:hAnsi="Montserrat" w:cs="Tahoma"/>
          <w:color w:val="9E36EF"/>
          <w:szCs w:val="24"/>
        </w:rPr>
        <w:t>DEFINI</w:t>
      </w:r>
      <w:r w:rsidR="00675D89" w:rsidRPr="00B77954">
        <w:rPr>
          <w:rFonts w:ascii="Montserrat" w:hAnsi="Montserrat" w:cs="Tahoma"/>
          <w:color w:val="9E36EF"/>
          <w:szCs w:val="24"/>
        </w:rPr>
        <w:t>ÇÕ</w:t>
      </w:r>
      <w:r w:rsidR="00675D89" w:rsidRPr="00F53B33">
        <w:rPr>
          <w:rFonts w:ascii="Montserrat" w:hAnsi="Montserrat" w:cs="Tahoma"/>
          <w:color w:val="9E36EF"/>
          <w:szCs w:val="24"/>
        </w:rPr>
        <w:t>ES</w:t>
      </w:r>
    </w:p>
    <w:p w14:paraId="7A33C8B7" w14:textId="68C5AFAD" w:rsidR="00097F26" w:rsidRDefault="00272D59" w:rsidP="00D80D46">
      <w:pPr>
        <w:spacing w:after="0" w:line="276" w:lineRule="auto"/>
        <w:jc w:val="both"/>
        <w:rPr>
          <w:rFonts w:ascii="Montserrat" w:hAnsi="Montserrat" w:cs="Tahoma"/>
          <w:sz w:val="20"/>
          <w:szCs w:val="20"/>
        </w:rPr>
      </w:pPr>
      <w:r w:rsidRPr="00272D59">
        <w:rPr>
          <w:rFonts w:ascii="Montserrat" w:hAnsi="Montserrat" w:cs="Tahoma"/>
          <w:sz w:val="20"/>
          <w:szCs w:val="20"/>
        </w:rPr>
        <w:t>Os termos e condições da Emissão e da Oferta são estabelecidos no “</w:t>
      </w:r>
      <w:r w:rsidRPr="00272D59">
        <w:rPr>
          <w:rFonts w:ascii="Montserrat" w:hAnsi="Montserrat" w:cs="Tahoma"/>
          <w:i/>
          <w:iCs/>
          <w:sz w:val="20"/>
          <w:szCs w:val="20"/>
        </w:rPr>
        <w:t>Termo de Securitização da 27ª (Vigésima Sétima) Emissão, em Série Única, de Certificados de Recebíveis Imobiliários da Leverage Companhia Securitizadora, com Lastro em Créditos Imobiliários Cedidos pela SPE Residencial Joanes Parque Ltda.</w:t>
      </w:r>
      <w:r w:rsidRPr="00272D59">
        <w:rPr>
          <w:rFonts w:ascii="Montserrat" w:hAnsi="Montserrat" w:cs="Tahoma"/>
          <w:sz w:val="20"/>
          <w:szCs w:val="20"/>
        </w:rPr>
        <w:t xml:space="preserve">”, celebrado em 13 de dezembro de 2024, conforme aditado, entre a Emissora e a </w:t>
      </w:r>
      <w:r w:rsidRPr="00272D59">
        <w:rPr>
          <w:rFonts w:ascii="Montserrat" w:hAnsi="Montserrat" w:cs="Tahoma"/>
          <w:b/>
          <w:bCs/>
          <w:sz w:val="20"/>
          <w:szCs w:val="20"/>
        </w:rPr>
        <w:t>VÓRTX DISTRIBUIDORA DE TÍTULOS E VALORES MOBILIÁRIOS LTDA.</w:t>
      </w:r>
      <w:r w:rsidRPr="00272D59">
        <w:rPr>
          <w:rFonts w:ascii="Montserrat" w:hAnsi="Montserrat" w:cs="Tahoma"/>
          <w:sz w:val="20"/>
          <w:szCs w:val="20"/>
        </w:rPr>
        <w:t>, instituição financeira com sede na Cidade de São Paulo, Estado de São Paulo, na Rua Gilberto Sabino, nº 215, 4º andar, Pinheiros, CEP 05425-020, inscrita no CNPJ sob o nº 22.610.500/0001-88, na qualidade de agente fiduciário dos CRI (“</w:t>
      </w:r>
      <w:r w:rsidRPr="005B490E">
        <w:rPr>
          <w:rFonts w:ascii="Montserrat" w:hAnsi="Montserrat" w:cs="Tahoma"/>
          <w:b/>
          <w:bCs/>
          <w:sz w:val="20"/>
          <w:szCs w:val="20"/>
          <w:u w:val="single"/>
        </w:rPr>
        <w:t>Agente Fiduciário</w:t>
      </w:r>
      <w:r w:rsidRPr="00272D59">
        <w:rPr>
          <w:rFonts w:ascii="Montserrat" w:hAnsi="Montserrat" w:cs="Tahoma"/>
          <w:sz w:val="20"/>
          <w:szCs w:val="20"/>
        </w:rPr>
        <w:t>” e “</w:t>
      </w:r>
      <w:r w:rsidRPr="005B490E">
        <w:rPr>
          <w:rFonts w:ascii="Montserrat" w:hAnsi="Montserrat" w:cs="Tahoma"/>
          <w:b/>
          <w:bCs/>
          <w:sz w:val="20"/>
          <w:szCs w:val="20"/>
          <w:u w:val="single"/>
        </w:rPr>
        <w:t>Termo de Securitização</w:t>
      </w:r>
      <w:r w:rsidRPr="00272D59">
        <w:rPr>
          <w:rFonts w:ascii="Montserrat" w:hAnsi="Montserrat" w:cs="Tahoma"/>
          <w:sz w:val="20"/>
          <w:szCs w:val="20"/>
        </w:rPr>
        <w:t xml:space="preserve">”, respectivamente). </w:t>
      </w:r>
      <w:r w:rsidR="005D6304" w:rsidRPr="005D6304">
        <w:rPr>
          <w:rFonts w:ascii="Montserrat" w:hAnsi="Montserrat" w:cs="Tahoma"/>
          <w:sz w:val="20"/>
          <w:szCs w:val="20"/>
        </w:rPr>
        <w:t xml:space="preserve">Exceto quando especificamente definidos neste Anúncio de Encerramento, os termos aqui utilizados iniciados em letra maiúscula terão o significado a eles atribuído no Termo de Securitização.  </w:t>
      </w:r>
    </w:p>
    <w:p w14:paraId="5C488540" w14:textId="3A16C2A6" w:rsidR="00097F26" w:rsidRPr="00B77954" w:rsidRDefault="00C71AEF" w:rsidP="00B77954">
      <w:pPr>
        <w:pStyle w:val="TITULOITENS"/>
        <w:pBdr>
          <w:bottom w:val="none" w:sz="0" w:space="0" w:color="auto"/>
        </w:pBdr>
        <w:spacing w:before="480" w:after="0"/>
        <w:rPr>
          <w:rFonts w:ascii="Montserrat" w:hAnsi="Montserrat" w:cs="Tahoma"/>
          <w:caps/>
          <w:color w:val="9E36EF"/>
          <w:szCs w:val="24"/>
        </w:rPr>
      </w:pPr>
      <w:r>
        <w:rPr>
          <w:rFonts w:ascii="Montserrat" w:hAnsi="Montserrat" w:cs="Tahoma"/>
          <w:caps/>
          <w:color w:val="9E36EF"/>
          <w:szCs w:val="24"/>
        </w:rPr>
        <w:t xml:space="preserve">classificação </w:t>
      </w:r>
      <w:r w:rsidRPr="00C71AEF">
        <w:rPr>
          <w:rFonts w:ascii="Montserrat" w:hAnsi="Montserrat" w:cs="Tahoma"/>
          <w:caps/>
          <w:color w:val="9E36EF"/>
          <w:szCs w:val="24"/>
        </w:rPr>
        <w:t>ANBIMA</w:t>
      </w:r>
    </w:p>
    <w:p w14:paraId="7709A3E4" w14:textId="626CD175" w:rsidR="007E3F76" w:rsidRDefault="00960CB7" w:rsidP="00B77954">
      <w:pPr>
        <w:spacing w:after="0" w:line="276" w:lineRule="auto"/>
        <w:jc w:val="both"/>
        <w:rPr>
          <w:rFonts w:ascii="Montserrat" w:hAnsi="Montserrat" w:cs="Tahoma"/>
          <w:b/>
          <w:bCs/>
          <w:sz w:val="20"/>
          <w:szCs w:val="20"/>
        </w:rPr>
      </w:pPr>
      <w:r w:rsidRPr="00960CB7">
        <w:rPr>
          <w:rFonts w:ascii="Montserrat" w:hAnsi="Montserrat" w:cs="Tahoma"/>
          <w:sz w:val="20"/>
          <w:szCs w:val="20"/>
        </w:rPr>
        <w:t xml:space="preserve">Classificação dos CRI (ANBIMA): Para os fins do artigo 4º do Capítulo II das Regras e Procedimentos ANBIMA para Classificação de CRI nº 06, de 2 de janeiro de 2023, os CRI são classificados da seguinte forma: </w:t>
      </w:r>
      <w:r w:rsidR="00272D59" w:rsidRPr="00272D59">
        <w:rPr>
          <w:rFonts w:ascii="Montserrat" w:hAnsi="Montserrat" w:cs="Tahoma"/>
          <w:b/>
          <w:bCs/>
          <w:sz w:val="20"/>
          <w:szCs w:val="20"/>
        </w:rPr>
        <w:t>(i)</w:t>
      </w:r>
      <w:r w:rsidR="00272D59" w:rsidRPr="00272D59">
        <w:rPr>
          <w:rFonts w:ascii="Montserrat" w:hAnsi="Montserrat" w:cs="Tahoma"/>
          <w:sz w:val="20"/>
          <w:szCs w:val="20"/>
        </w:rPr>
        <w:t xml:space="preserve"> Categoria: Residencial; </w:t>
      </w:r>
      <w:r w:rsidR="00272D59" w:rsidRPr="00272D59">
        <w:rPr>
          <w:rFonts w:ascii="Montserrat" w:hAnsi="Montserrat" w:cs="Tahoma"/>
          <w:b/>
          <w:bCs/>
          <w:sz w:val="20"/>
          <w:szCs w:val="20"/>
        </w:rPr>
        <w:t>(</w:t>
      </w:r>
      <w:proofErr w:type="spellStart"/>
      <w:r w:rsidR="00272D59" w:rsidRPr="00272D59">
        <w:rPr>
          <w:rFonts w:ascii="Montserrat" w:hAnsi="Montserrat" w:cs="Tahoma"/>
          <w:b/>
          <w:bCs/>
          <w:sz w:val="20"/>
          <w:szCs w:val="20"/>
        </w:rPr>
        <w:t>ii</w:t>
      </w:r>
      <w:proofErr w:type="spellEnd"/>
      <w:r w:rsidR="00272D59" w:rsidRPr="00272D59">
        <w:rPr>
          <w:rFonts w:ascii="Montserrat" w:hAnsi="Montserrat" w:cs="Tahoma"/>
          <w:b/>
          <w:bCs/>
          <w:sz w:val="20"/>
          <w:szCs w:val="20"/>
        </w:rPr>
        <w:t xml:space="preserve">) </w:t>
      </w:r>
      <w:r w:rsidR="00272D59" w:rsidRPr="00272D59">
        <w:rPr>
          <w:rFonts w:ascii="Montserrat" w:hAnsi="Montserrat" w:cs="Tahoma"/>
          <w:sz w:val="20"/>
          <w:szCs w:val="20"/>
        </w:rPr>
        <w:t xml:space="preserve">Concentração: Pulverizado; </w:t>
      </w:r>
      <w:r w:rsidR="00272D59" w:rsidRPr="00272D59">
        <w:rPr>
          <w:rFonts w:ascii="Montserrat" w:hAnsi="Montserrat" w:cs="Tahoma"/>
          <w:b/>
          <w:bCs/>
          <w:sz w:val="20"/>
          <w:szCs w:val="20"/>
        </w:rPr>
        <w:t>(</w:t>
      </w:r>
      <w:proofErr w:type="spellStart"/>
      <w:r w:rsidR="00272D59" w:rsidRPr="00272D59">
        <w:rPr>
          <w:rFonts w:ascii="Montserrat" w:hAnsi="Montserrat" w:cs="Tahoma"/>
          <w:b/>
          <w:bCs/>
          <w:sz w:val="20"/>
          <w:szCs w:val="20"/>
        </w:rPr>
        <w:t>iii</w:t>
      </w:r>
      <w:proofErr w:type="spellEnd"/>
      <w:r w:rsidR="00272D59" w:rsidRPr="00272D59">
        <w:rPr>
          <w:rFonts w:ascii="Montserrat" w:hAnsi="Montserrat" w:cs="Tahoma"/>
          <w:b/>
          <w:bCs/>
          <w:sz w:val="20"/>
          <w:szCs w:val="20"/>
        </w:rPr>
        <w:t>)</w:t>
      </w:r>
      <w:r w:rsidR="00272D59" w:rsidRPr="00272D59">
        <w:rPr>
          <w:rFonts w:ascii="Montserrat" w:hAnsi="Montserrat" w:cs="Tahoma"/>
          <w:sz w:val="20"/>
          <w:szCs w:val="20"/>
        </w:rPr>
        <w:t xml:space="preserve"> Segmento: Loteamento; </w:t>
      </w:r>
      <w:r w:rsidR="00272D59" w:rsidRPr="00272D59">
        <w:rPr>
          <w:rFonts w:ascii="Montserrat" w:hAnsi="Montserrat" w:cs="Tahoma"/>
          <w:b/>
          <w:bCs/>
          <w:sz w:val="20"/>
          <w:szCs w:val="20"/>
        </w:rPr>
        <w:t>(</w:t>
      </w:r>
      <w:proofErr w:type="spellStart"/>
      <w:r w:rsidR="00272D59" w:rsidRPr="00272D59">
        <w:rPr>
          <w:rFonts w:ascii="Montserrat" w:hAnsi="Montserrat" w:cs="Tahoma"/>
          <w:b/>
          <w:bCs/>
          <w:sz w:val="20"/>
          <w:szCs w:val="20"/>
        </w:rPr>
        <w:t>iv</w:t>
      </w:r>
      <w:proofErr w:type="spellEnd"/>
      <w:r w:rsidR="00272D59" w:rsidRPr="00272D59">
        <w:rPr>
          <w:rFonts w:ascii="Montserrat" w:hAnsi="Montserrat" w:cs="Tahoma"/>
          <w:b/>
          <w:bCs/>
          <w:sz w:val="20"/>
          <w:szCs w:val="20"/>
        </w:rPr>
        <w:t>)</w:t>
      </w:r>
      <w:r w:rsidR="00272D59" w:rsidRPr="00272D59">
        <w:rPr>
          <w:rFonts w:ascii="Montserrat" w:hAnsi="Montserrat" w:cs="Tahoma"/>
          <w:sz w:val="20"/>
          <w:szCs w:val="20"/>
        </w:rPr>
        <w:t xml:space="preserve"> Tipo do Contrato: Compra e venda com pagamento a prazo. </w:t>
      </w:r>
      <w:r w:rsidR="00544508" w:rsidRPr="00960CB7">
        <w:rPr>
          <w:rFonts w:ascii="Montserrat" w:hAnsi="Montserrat" w:cs="Tahoma"/>
          <w:b/>
          <w:bCs/>
          <w:sz w:val="20"/>
          <w:szCs w:val="20"/>
        </w:rPr>
        <w:t>Esta</w:t>
      </w:r>
      <w:r w:rsidRPr="00960CB7">
        <w:rPr>
          <w:rFonts w:ascii="Montserrat" w:hAnsi="Montserrat" w:cs="Tahoma"/>
          <w:b/>
          <w:bCs/>
          <w:sz w:val="20"/>
          <w:szCs w:val="20"/>
        </w:rPr>
        <w:t xml:space="preserve"> classificação foi realizada no momento inicial da Oferta, estando as características deste papel sujeitas a alterações.</w:t>
      </w:r>
    </w:p>
    <w:p w14:paraId="36F2F136" w14:textId="0BC4E354" w:rsidR="000B57C5" w:rsidRPr="000B57C5" w:rsidRDefault="00212AFF" w:rsidP="000B57C5">
      <w:pPr>
        <w:pStyle w:val="TITULOITENS"/>
        <w:pBdr>
          <w:bottom w:val="none" w:sz="0" w:space="0" w:color="auto"/>
        </w:pBdr>
        <w:spacing w:before="480" w:after="0"/>
        <w:rPr>
          <w:rFonts w:ascii="Montserrat" w:hAnsi="Montserrat" w:cs="Tahoma"/>
          <w:caps/>
          <w:color w:val="9E36EF"/>
          <w:szCs w:val="24"/>
        </w:rPr>
      </w:pPr>
      <w:r w:rsidRPr="00212AFF">
        <w:rPr>
          <w:rFonts w:ascii="Montserrat" w:hAnsi="Montserrat" w:cs="Tahoma"/>
          <w:caps/>
          <w:color w:val="9E36EF"/>
          <w:szCs w:val="24"/>
        </w:rPr>
        <w:t>DADOS FINAIS DE DISTRIBUIÇÃO</w:t>
      </w:r>
      <w:r w:rsidR="000B57C5">
        <w:rPr>
          <w:rFonts w:ascii="Montserrat" w:hAnsi="Montserrat" w:cs="Tahoma"/>
          <w:caps/>
          <w:color w:val="9E36EF"/>
          <w:szCs w:val="24"/>
        </w:rPr>
        <w:tab/>
      </w:r>
      <w:r w:rsidR="000B57C5" w:rsidRPr="000B57C5">
        <w:rPr>
          <w:rFonts w:ascii="Montserrat" w:hAnsi="Montserrat" w:cs="Tahoma"/>
          <w:caps/>
          <w:color w:val="9E36EF"/>
          <w:szCs w:val="24"/>
        </w:rPr>
        <w:br/>
      </w:r>
      <w:r w:rsidR="00272D59">
        <w:rPr>
          <w:rFonts w:ascii="Montserrat" w:eastAsiaTheme="minorHAnsi" w:hAnsi="Montserrat" w:cs="Tahoma"/>
          <w:bCs/>
          <w:color w:val="auto"/>
          <w:sz w:val="20"/>
          <w:lang w:eastAsia="en-US"/>
        </w:rPr>
        <w:t xml:space="preserve">CRI SÉRIE ÚNICA </w:t>
      </w:r>
    </w:p>
    <w:tbl>
      <w:tblPr>
        <w:tblW w:w="10980" w:type="dxa"/>
        <w:tblCellMar>
          <w:left w:w="70" w:type="dxa"/>
          <w:right w:w="70" w:type="dxa"/>
        </w:tblCellMar>
        <w:tblLook w:val="04A0" w:firstRow="1" w:lastRow="0" w:firstColumn="1" w:lastColumn="0" w:noHBand="0" w:noVBand="1"/>
      </w:tblPr>
      <w:tblGrid>
        <w:gridCol w:w="6100"/>
        <w:gridCol w:w="2620"/>
        <w:gridCol w:w="2260"/>
      </w:tblGrid>
      <w:tr w:rsidR="000B57C5" w:rsidRPr="000B57C5" w14:paraId="04333D16" w14:textId="77777777" w:rsidTr="000B57C5">
        <w:trPr>
          <w:trHeight w:val="490"/>
        </w:trPr>
        <w:tc>
          <w:tcPr>
            <w:tcW w:w="6100" w:type="dxa"/>
            <w:tcBorders>
              <w:top w:val="nil"/>
              <w:left w:val="single" w:sz="8" w:space="0" w:color="05ACD8"/>
              <w:bottom w:val="single" w:sz="8" w:space="0" w:color="05ACD8"/>
              <w:right w:val="single" w:sz="8" w:space="0" w:color="05ACD8"/>
            </w:tcBorders>
            <w:shd w:val="clear" w:color="000000" w:fill="32BECB"/>
            <w:vAlign w:val="center"/>
            <w:hideMark/>
          </w:tcPr>
          <w:p w14:paraId="211C78FD" w14:textId="77777777" w:rsidR="000B57C5" w:rsidRPr="000B57C5" w:rsidRDefault="000B57C5" w:rsidP="000B57C5">
            <w:pPr>
              <w:spacing w:after="0" w:line="240" w:lineRule="auto"/>
              <w:jc w:val="center"/>
              <w:rPr>
                <w:rFonts w:ascii="Montserrat" w:eastAsia="Times New Roman" w:hAnsi="Montserrat" w:cs="Times New Roman"/>
                <w:b/>
                <w:bCs/>
                <w:color w:val="0D0409"/>
                <w:sz w:val="18"/>
                <w:szCs w:val="18"/>
                <w:lang w:eastAsia="pt-BR"/>
              </w:rPr>
            </w:pPr>
            <w:r w:rsidRPr="000B57C5">
              <w:rPr>
                <w:rFonts w:ascii="Montserrat" w:eastAsia="Times New Roman" w:hAnsi="Montserrat" w:cs="Times New Roman"/>
                <w:b/>
                <w:bCs/>
                <w:color w:val="0D0409"/>
                <w:sz w:val="18"/>
                <w:szCs w:val="18"/>
                <w:lang w:eastAsia="pt-BR"/>
              </w:rPr>
              <w:t>Investidor</w:t>
            </w:r>
          </w:p>
        </w:tc>
        <w:tc>
          <w:tcPr>
            <w:tcW w:w="2620" w:type="dxa"/>
            <w:tcBorders>
              <w:top w:val="nil"/>
              <w:left w:val="nil"/>
              <w:bottom w:val="single" w:sz="8" w:space="0" w:color="05ACD8"/>
              <w:right w:val="single" w:sz="8" w:space="0" w:color="05ACD8"/>
            </w:tcBorders>
            <w:shd w:val="clear" w:color="000000" w:fill="32BECB"/>
            <w:vAlign w:val="center"/>
            <w:hideMark/>
          </w:tcPr>
          <w:p w14:paraId="5C5A499D" w14:textId="77777777" w:rsidR="000B57C5" w:rsidRPr="000B57C5" w:rsidRDefault="000B57C5" w:rsidP="000B57C5">
            <w:pPr>
              <w:spacing w:after="0" w:line="240" w:lineRule="auto"/>
              <w:jc w:val="center"/>
              <w:rPr>
                <w:rFonts w:ascii="Montserrat" w:eastAsia="Times New Roman" w:hAnsi="Montserrat" w:cs="Times New Roman"/>
                <w:b/>
                <w:bCs/>
                <w:color w:val="0D0409"/>
                <w:sz w:val="18"/>
                <w:szCs w:val="18"/>
                <w:lang w:eastAsia="pt-BR"/>
              </w:rPr>
            </w:pPr>
            <w:r w:rsidRPr="000B57C5">
              <w:rPr>
                <w:rFonts w:ascii="Montserrat" w:eastAsia="Times New Roman" w:hAnsi="Montserrat" w:cs="Times New Roman"/>
                <w:b/>
                <w:bCs/>
                <w:color w:val="0D0409"/>
                <w:sz w:val="18"/>
                <w:szCs w:val="18"/>
                <w:lang w:eastAsia="pt-BR"/>
              </w:rPr>
              <w:t>Quantidade de Subscritores</w:t>
            </w:r>
          </w:p>
        </w:tc>
        <w:tc>
          <w:tcPr>
            <w:tcW w:w="2260" w:type="dxa"/>
            <w:tcBorders>
              <w:top w:val="nil"/>
              <w:left w:val="nil"/>
              <w:bottom w:val="single" w:sz="8" w:space="0" w:color="05ACD8"/>
              <w:right w:val="single" w:sz="8" w:space="0" w:color="05ACD8"/>
            </w:tcBorders>
            <w:shd w:val="clear" w:color="000000" w:fill="32BECB"/>
            <w:vAlign w:val="center"/>
            <w:hideMark/>
          </w:tcPr>
          <w:p w14:paraId="0EC705B9" w14:textId="77777777" w:rsidR="000B57C5" w:rsidRPr="000B57C5" w:rsidRDefault="000B57C5" w:rsidP="000B57C5">
            <w:pPr>
              <w:spacing w:after="0" w:line="240" w:lineRule="auto"/>
              <w:jc w:val="center"/>
              <w:rPr>
                <w:rFonts w:ascii="Montserrat" w:eastAsia="Times New Roman" w:hAnsi="Montserrat" w:cs="Times New Roman"/>
                <w:b/>
                <w:bCs/>
                <w:color w:val="0D0409"/>
                <w:sz w:val="18"/>
                <w:szCs w:val="18"/>
                <w:lang w:eastAsia="pt-BR"/>
              </w:rPr>
            </w:pPr>
            <w:r w:rsidRPr="000B57C5">
              <w:rPr>
                <w:rFonts w:ascii="Montserrat" w:eastAsia="Times New Roman" w:hAnsi="Montserrat" w:cs="Times New Roman"/>
                <w:b/>
                <w:bCs/>
                <w:color w:val="0D0409"/>
                <w:sz w:val="18"/>
                <w:szCs w:val="18"/>
                <w:lang w:eastAsia="pt-BR"/>
              </w:rPr>
              <w:t>Quantidade de CRI Subscritos</w:t>
            </w:r>
          </w:p>
        </w:tc>
      </w:tr>
      <w:tr w:rsidR="00964518" w:rsidRPr="000B57C5" w14:paraId="6C54589D" w14:textId="77777777" w:rsidTr="00964518">
        <w:trPr>
          <w:trHeight w:val="270"/>
        </w:trPr>
        <w:tc>
          <w:tcPr>
            <w:tcW w:w="6100" w:type="dxa"/>
            <w:tcBorders>
              <w:top w:val="nil"/>
              <w:left w:val="single" w:sz="8" w:space="0" w:color="05ACD8"/>
              <w:bottom w:val="single" w:sz="8" w:space="0" w:color="05ACD8"/>
              <w:right w:val="single" w:sz="8" w:space="0" w:color="05ACD8"/>
            </w:tcBorders>
            <w:vAlign w:val="center"/>
            <w:hideMark/>
          </w:tcPr>
          <w:p w14:paraId="3CBB3548" w14:textId="77777777" w:rsidR="00964518" w:rsidRPr="000B57C5" w:rsidRDefault="00964518" w:rsidP="00964518">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Pessoas naturais</w:t>
            </w:r>
          </w:p>
        </w:tc>
        <w:tc>
          <w:tcPr>
            <w:tcW w:w="2620" w:type="dxa"/>
            <w:tcBorders>
              <w:top w:val="nil"/>
              <w:left w:val="nil"/>
              <w:bottom w:val="single" w:sz="8" w:space="0" w:color="05ACD8"/>
              <w:right w:val="single" w:sz="8" w:space="0" w:color="05ACD8"/>
            </w:tcBorders>
            <w:vAlign w:val="center"/>
          </w:tcPr>
          <w:p w14:paraId="74F7DF26" w14:textId="330B205D" w:rsidR="00964518" w:rsidRPr="000B57C5" w:rsidRDefault="00174969" w:rsidP="00964518">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tcPr>
          <w:p w14:paraId="6438A665" w14:textId="158E0DC5" w:rsidR="00964518" w:rsidRPr="000B57C5" w:rsidRDefault="00174969" w:rsidP="00964518">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964518" w:rsidRPr="000B57C5" w14:paraId="0ACFBCC1"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7AD87CC3" w14:textId="77777777" w:rsidR="00964518" w:rsidRPr="000B57C5" w:rsidRDefault="00964518" w:rsidP="00964518">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Clubes de investimento</w:t>
            </w:r>
          </w:p>
        </w:tc>
        <w:tc>
          <w:tcPr>
            <w:tcW w:w="2620" w:type="dxa"/>
            <w:tcBorders>
              <w:top w:val="nil"/>
              <w:left w:val="nil"/>
              <w:bottom w:val="single" w:sz="8" w:space="0" w:color="05ACD8"/>
              <w:right w:val="single" w:sz="8" w:space="0" w:color="05ACD8"/>
            </w:tcBorders>
            <w:vAlign w:val="center"/>
            <w:hideMark/>
          </w:tcPr>
          <w:p w14:paraId="5E373D40" w14:textId="3D471E4E" w:rsidR="00964518" w:rsidRPr="000B57C5" w:rsidRDefault="00174969" w:rsidP="00964518">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08359632" w14:textId="1895B317" w:rsidR="00964518" w:rsidRPr="000B57C5" w:rsidRDefault="00174969" w:rsidP="00964518">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964518" w:rsidRPr="000B57C5" w14:paraId="3200E92A" w14:textId="77777777" w:rsidTr="00964518">
        <w:trPr>
          <w:trHeight w:val="270"/>
        </w:trPr>
        <w:tc>
          <w:tcPr>
            <w:tcW w:w="6100" w:type="dxa"/>
            <w:tcBorders>
              <w:top w:val="nil"/>
              <w:left w:val="single" w:sz="8" w:space="0" w:color="05ACD8"/>
              <w:bottom w:val="single" w:sz="8" w:space="0" w:color="05ACD8"/>
              <w:right w:val="single" w:sz="8" w:space="0" w:color="05ACD8"/>
            </w:tcBorders>
            <w:vAlign w:val="center"/>
            <w:hideMark/>
          </w:tcPr>
          <w:p w14:paraId="5E89019E" w14:textId="77777777" w:rsidR="00964518" w:rsidRPr="000B57C5" w:rsidRDefault="00964518" w:rsidP="00964518">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Fundos de investimento</w:t>
            </w:r>
          </w:p>
        </w:tc>
        <w:tc>
          <w:tcPr>
            <w:tcW w:w="2620" w:type="dxa"/>
            <w:tcBorders>
              <w:top w:val="nil"/>
              <w:left w:val="nil"/>
              <w:bottom w:val="single" w:sz="8" w:space="0" w:color="05ACD8"/>
              <w:right w:val="single" w:sz="8" w:space="0" w:color="05ACD8"/>
            </w:tcBorders>
            <w:vAlign w:val="center"/>
          </w:tcPr>
          <w:p w14:paraId="490FEB81" w14:textId="08778616" w:rsidR="00964518" w:rsidRPr="000B57C5" w:rsidRDefault="00272D59" w:rsidP="00964518">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1</w:t>
            </w:r>
          </w:p>
        </w:tc>
        <w:tc>
          <w:tcPr>
            <w:tcW w:w="2260" w:type="dxa"/>
            <w:tcBorders>
              <w:top w:val="nil"/>
              <w:left w:val="nil"/>
              <w:bottom w:val="single" w:sz="8" w:space="0" w:color="05ACD8"/>
              <w:right w:val="single" w:sz="8" w:space="0" w:color="05ACD8"/>
            </w:tcBorders>
            <w:vAlign w:val="center"/>
          </w:tcPr>
          <w:p w14:paraId="02CA9D4B" w14:textId="63C41FCA" w:rsidR="00964518" w:rsidRPr="000B57C5" w:rsidRDefault="00272D59" w:rsidP="00964518">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29</w:t>
            </w:r>
            <w:r w:rsidR="00681C47">
              <w:rPr>
                <w:rFonts w:ascii="Montserrat" w:eastAsia="Times New Roman" w:hAnsi="Montserrat" w:cs="Times New Roman"/>
                <w:color w:val="0D0409"/>
                <w:sz w:val="18"/>
                <w:szCs w:val="18"/>
                <w:lang w:eastAsia="pt-BR"/>
              </w:rPr>
              <w:t>.000</w:t>
            </w:r>
          </w:p>
        </w:tc>
      </w:tr>
      <w:tr w:rsidR="00174969" w:rsidRPr="000B57C5" w14:paraId="48D0AD9E"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67FDBC76"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Entidades de previdência privada</w:t>
            </w:r>
          </w:p>
        </w:tc>
        <w:tc>
          <w:tcPr>
            <w:tcW w:w="2620" w:type="dxa"/>
            <w:tcBorders>
              <w:top w:val="nil"/>
              <w:left w:val="nil"/>
              <w:bottom w:val="single" w:sz="8" w:space="0" w:color="05ACD8"/>
              <w:right w:val="single" w:sz="8" w:space="0" w:color="05ACD8"/>
            </w:tcBorders>
            <w:vAlign w:val="center"/>
            <w:hideMark/>
          </w:tcPr>
          <w:p w14:paraId="0C33E14C" w14:textId="4F6A79A5"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3D56DFB3" w14:textId="4BA1EF06"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7D5CF7DE"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08A16D34"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Companhias seguradoras</w:t>
            </w:r>
          </w:p>
        </w:tc>
        <w:tc>
          <w:tcPr>
            <w:tcW w:w="2620" w:type="dxa"/>
            <w:tcBorders>
              <w:top w:val="nil"/>
              <w:left w:val="nil"/>
              <w:bottom w:val="single" w:sz="8" w:space="0" w:color="05ACD8"/>
              <w:right w:val="single" w:sz="8" w:space="0" w:color="05ACD8"/>
            </w:tcBorders>
            <w:vAlign w:val="center"/>
            <w:hideMark/>
          </w:tcPr>
          <w:p w14:paraId="33E71F76" w14:textId="3832AEDD"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44AEB4DA" w14:textId="275FCF9F"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78FAA0F9"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729DF655"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Investidores estrangeiros</w:t>
            </w:r>
          </w:p>
        </w:tc>
        <w:tc>
          <w:tcPr>
            <w:tcW w:w="2620" w:type="dxa"/>
            <w:tcBorders>
              <w:top w:val="nil"/>
              <w:left w:val="nil"/>
              <w:bottom w:val="single" w:sz="8" w:space="0" w:color="05ACD8"/>
              <w:right w:val="single" w:sz="8" w:space="0" w:color="05ACD8"/>
            </w:tcBorders>
            <w:vAlign w:val="center"/>
            <w:hideMark/>
          </w:tcPr>
          <w:p w14:paraId="3100104B" w14:textId="7D6585D1"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6A7DD8FF" w14:textId="2FB9EC1F"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53C053DA"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41FE77B4"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Instituições Intermediárias</w:t>
            </w:r>
          </w:p>
        </w:tc>
        <w:tc>
          <w:tcPr>
            <w:tcW w:w="2620" w:type="dxa"/>
            <w:tcBorders>
              <w:top w:val="nil"/>
              <w:left w:val="nil"/>
              <w:bottom w:val="single" w:sz="8" w:space="0" w:color="05ACD8"/>
              <w:right w:val="single" w:sz="8" w:space="0" w:color="05ACD8"/>
            </w:tcBorders>
            <w:vAlign w:val="center"/>
            <w:hideMark/>
          </w:tcPr>
          <w:p w14:paraId="5A4308FC" w14:textId="568DE7DF"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58BC8828" w14:textId="6B2EEE2F"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38E9D132"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145DAC90"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lastRenderedPageBreak/>
              <w:t>Instituições financeiras ligadas a emissora e a coordenadora líder</w:t>
            </w:r>
          </w:p>
        </w:tc>
        <w:tc>
          <w:tcPr>
            <w:tcW w:w="2620" w:type="dxa"/>
            <w:tcBorders>
              <w:top w:val="nil"/>
              <w:left w:val="nil"/>
              <w:bottom w:val="single" w:sz="8" w:space="0" w:color="05ACD8"/>
              <w:right w:val="single" w:sz="8" w:space="0" w:color="05ACD8"/>
            </w:tcBorders>
            <w:vAlign w:val="center"/>
            <w:hideMark/>
          </w:tcPr>
          <w:p w14:paraId="68B1C609" w14:textId="48378DA5"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07072A2E" w14:textId="7437AA64"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70A6AB79"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7D0B44A0"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Demais instituições financeiras</w:t>
            </w:r>
          </w:p>
        </w:tc>
        <w:tc>
          <w:tcPr>
            <w:tcW w:w="2620" w:type="dxa"/>
            <w:tcBorders>
              <w:top w:val="nil"/>
              <w:left w:val="nil"/>
              <w:bottom w:val="single" w:sz="8" w:space="0" w:color="05ACD8"/>
              <w:right w:val="single" w:sz="8" w:space="0" w:color="05ACD8"/>
            </w:tcBorders>
            <w:vAlign w:val="center"/>
            <w:hideMark/>
          </w:tcPr>
          <w:p w14:paraId="3454A9AF" w14:textId="479FD389"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2EFE6648" w14:textId="1369B4C9"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7F0671AA" w14:textId="77777777" w:rsidTr="000B57C5">
        <w:trPr>
          <w:trHeight w:val="270"/>
        </w:trPr>
        <w:tc>
          <w:tcPr>
            <w:tcW w:w="6100" w:type="dxa"/>
            <w:tcBorders>
              <w:top w:val="nil"/>
              <w:left w:val="single" w:sz="8" w:space="0" w:color="05ACD8"/>
              <w:bottom w:val="single" w:sz="8" w:space="0" w:color="05ACD8"/>
              <w:right w:val="single" w:sz="8" w:space="0" w:color="05ACD8"/>
            </w:tcBorders>
            <w:vAlign w:val="center"/>
            <w:hideMark/>
          </w:tcPr>
          <w:p w14:paraId="450D408F"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Demais pessoas jurídicas ligadas a emissora e a coordenadora líder</w:t>
            </w:r>
          </w:p>
        </w:tc>
        <w:tc>
          <w:tcPr>
            <w:tcW w:w="2620" w:type="dxa"/>
            <w:tcBorders>
              <w:top w:val="nil"/>
              <w:left w:val="nil"/>
              <w:bottom w:val="single" w:sz="8" w:space="0" w:color="05ACD8"/>
              <w:right w:val="single" w:sz="8" w:space="0" w:color="05ACD8"/>
            </w:tcBorders>
            <w:vAlign w:val="center"/>
            <w:hideMark/>
          </w:tcPr>
          <w:p w14:paraId="287294AD" w14:textId="6ADBBF5D"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4EBE8BCF" w14:textId="1532BA8E"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633985B0" w14:textId="77777777" w:rsidTr="00964518">
        <w:trPr>
          <w:trHeight w:val="270"/>
        </w:trPr>
        <w:tc>
          <w:tcPr>
            <w:tcW w:w="6100" w:type="dxa"/>
            <w:tcBorders>
              <w:top w:val="nil"/>
              <w:left w:val="single" w:sz="8" w:space="0" w:color="05ACD8"/>
              <w:bottom w:val="single" w:sz="8" w:space="0" w:color="05ACD8"/>
              <w:right w:val="single" w:sz="8" w:space="0" w:color="05ACD8"/>
            </w:tcBorders>
            <w:vAlign w:val="center"/>
            <w:hideMark/>
          </w:tcPr>
          <w:p w14:paraId="3543956C"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Demais pessoas jurídicas</w:t>
            </w:r>
          </w:p>
        </w:tc>
        <w:tc>
          <w:tcPr>
            <w:tcW w:w="2620" w:type="dxa"/>
            <w:tcBorders>
              <w:top w:val="nil"/>
              <w:left w:val="nil"/>
              <w:bottom w:val="single" w:sz="8" w:space="0" w:color="05ACD8"/>
              <w:right w:val="single" w:sz="8" w:space="0" w:color="05ACD8"/>
            </w:tcBorders>
            <w:vAlign w:val="center"/>
          </w:tcPr>
          <w:p w14:paraId="7CC82413" w14:textId="6386E5AD"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tcPr>
          <w:p w14:paraId="251CF6EC" w14:textId="5317300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174969" w:rsidRPr="000B57C5" w14:paraId="1433367C" w14:textId="77777777" w:rsidTr="000B57C5">
        <w:trPr>
          <w:trHeight w:val="490"/>
        </w:trPr>
        <w:tc>
          <w:tcPr>
            <w:tcW w:w="6100" w:type="dxa"/>
            <w:tcBorders>
              <w:top w:val="nil"/>
              <w:left w:val="single" w:sz="8" w:space="0" w:color="05ACD8"/>
              <w:bottom w:val="single" w:sz="8" w:space="0" w:color="05ACD8"/>
              <w:right w:val="single" w:sz="8" w:space="0" w:color="05ACD8"/>
            </w:tcBorders>
            <w:vAlign w:val="center"/>
            <w:hideMark/>
          </w:tcPr>
          <w:p w14:paraId="30CA957E" w14:textId="77777777"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sidRPr="000B57C5">
              <w:rPr>
                <w:rFonts w:ascii="Montserrat" w:eastAsia="Times New Roman" w:hAnsi="Montserrat" w:cs="Times New Roman"/>
                <w:color w:val="0D0409"/>
                <w:sz w:val="18"/>
                <w:szCs w:val="18"/>
                <w:lang w:eastAsia="pt-BR"/>
              </w:rPr>
              <w:t>Sócios, administradores, empregados, prepostos e demais pessoas ligadas a emissora e a coordenadora líder</w:t>
            </w:r>
          </w:p>
        </w:tc>
        <w:tc>
          <w:tcPr>
            <w:tcW w:w="2620" w:type="dxa"/>
            <w:tcBorders>
              <w:top w:val="nil"/>
              <w:left w:val="nil"/>
              <w:bottom w:val="single" w:sz="8" w:space="0" w:color="05ACD8"/>
              <w:right w:val="single" w:sz="8" w:space="0" w:color="05ACD8"/>
            </w:tcBorders>
            <w:vAlign w:val="center"/>
            <w:hideMark/>
          </w:tcPr>
          <w:p w14:paraId="66D5D378" w14:textId="2C5DCEDA"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c>
          <w:tcPr>
            <w:tcW w:w="2260" w:type="dxa"/>
            <w:tcBorders>
              <w:top w:val="nil"/>
              <w:left w:val="nil"/>
              <w:bottom w:val="single" w:sz="8" w:space="0" w:color="05ACD8"/>
              <w:right w:val="single" w:sz="8" w:space="0" w:color="05ACD8"/>
            </w:tcBorders>
            <w:vAlign w:val="center"/>
            <w:hideMark/>
          </w:tcPr>
          <w:p w14:paraId="341E947C" w14:textId="014F4545" w:rsidR="00174969" w:rsidRPr="000B57C5" w:rsidRDefault="00174969" w:rsidP="00174969">
            <w:pPr>
              <w:spacing w:after="0" w:line="240" w:lineRule="auto"/>
              <w:jc w:val="center"/>
              <w:rPr>
                <w:rFonts w:ascii="Montserrat" w:eastAsia="Times New Roman" w:hAnsi="Montserrat" w:cs="Times New Roman"/>
                <w:color w:val="0D0409"/>
                <w:sz w:val="18"/>
                <w:szCs w:val="18"/>
                <w:lang w:eastAsia="pt-BR"/>
              </w:rPr>
            </w:pPr>
            <w:r>
              <w:rPr>
                <w:rFonts w:ascii="Montserrat" w:eastAsia="Times New Roman" w:hAnsi="Montserrat" w:cs="Times New Roman"/>
                <w:color w:val="0D0409"/>
                <w:sz w:val="18"/>
                <w:szCs w:val="18"/>
                <w:lang w:eastAsia="pt-BR"/>
              </w:rPr>
              <w:t>-</w:t>
            </w:r>
          </w:p>
        </w:tc>
      </w:tr>
      <w:tr w:rsidR="00964518" w:rsidRPr="000B57C5" w14:paraId="0BA290BD" w14:textId="77777777" w:rsidTr="000B57C5">
        <w:trPr>
          <w:trHeight w:val="260"/>
        </w:trPr>
        <w:tc>
          <w:tcPr>
            <w:tcW w:w="6100" w:type="dxa"/>
            <w:tcBorders>
              <w:top w:val="nil"/>
              <w:left w:val="single" w:sz="8" w:space="0" w:color="05ACD8"/>
              <w:bottom w:val="single" w:sz="8" w:space="0" w:color="05ACD8"/>
              <w:right w:val="single" w:sz="8" w:space="0" w:color="05ACD8"/>
            </w:tcBorders>
            <w:shd w:val="clear" w:color="000000" w:fill="32BECB"/>
            <w:vAlign w:val="center"/>
            <w:hideMark/>
          </w:tcPr>
          <w:p w14:paraId="0BBDF9EF" w14:textId="77777777" w:rsidR="00964518" w:rsidRPr="000B57C5" w:rsidRDefault="00964518" w:rsidP="00964518">
            <w:pPr>
              <w:spacing w:after="0" w:line="240" w:lineRule="auto"/>
              <w:jc w:val="center"/>
              <w:rPr>
                <w:rFonts w:ascii="Montserrat" w:eastAsia="Times New Roman" w:hAnsi="Montserrat" w:cs="Times New Roman"/>
                <w:b/>
                <w:bCs/>
                <w:color w:val="0D0409"/>
                <w:sz w:val="18"/>
                <w:szCs w:val="18"/>
                <w:lang w:eastAsia="pt-BR"/>
              </w:rPr>
            </w:pPr>
            <w:r w:rsidRPr="000B57C5">
              <w:rPr>
                <w:rFonts w:ascii="Montserrat" w:eastAsia="Times New Roman" w:hAnsi="Montserrat" w:cs="Times New Roman"/>
                <w:b/>
                <w:bCs/>
                <w:color w:val="0D0409"/>
                <w:sz w:val="18"/>
                <w:szCs w:val="18"/>
                <w:lang w:eastAsia="pt-BR"/>
              </w:rPr>
              <w:t>Total</w:t>
            </w:r>
          </w:p>
        </w:tc>
        <w:tc>
          <w:tcPr>
            <w:tcW w:w="2620" w:type="dxa"/>
            <w:tcBorders>
              <w:top w:val="nil"/>
              <w:left w:val="nil"/>
              <w:bottom w:val="single" w:sz="8" w:space="0" w:color="05ACD8"/>
              <w:right w:val="single" w:sz="8" w:space="0" w:color="05ACD8"/>
            </w:tcBorders>
            <w:shd w:val="clear" w:color="000000" w:fill="32BECB"/>
            <w:vAlign w:val="center"/>
            <w:hideMark/>
          </w:tcPr>
          <w:p w14:paraId="1229F2DC" w14:textId="593C43C0" w:rsidR="00964518" w:rsidRPr="000B57C5" w:rsidRDefault="00174969" w:rsidP="00964518">
            <w:pPr>
              <w:spacing w:after="0" w:line="240" w:lineRule="auto"/>
              <w:jc w:val="center"/>
              <w:rPr>
                <w:rFonts w:ascii="Montserrat" w:eastAsia="Times New Roman" w:hAnsi="Montserrat" w:cs="Times New Roman"/>
                <w:b/>
                <w:bCs/>
                <w:color w:val="0D0409"/>
                <w:sz w:val="18"/>
                <w:szCs w:val="18"/>
                <w:lang w:eastAsia="pt-BR"/>
              </w:rPr>
            </w:pPr>
            <w:r>
              <w:rPr>
                <w:rFonts w:ascii="Montserrat" w:eastAsia="Times New Roman" w:hAnsi="Montserrat" w:cs="Times New Roman"/>
                <w:b/>
                <w:bCs/>
                <w:color w:val="0D0409"/>
                <w:sz w:val="18"/>
                <w:szCs w:val="18"/>
                <w:lang w:eastAsia="pt-BR"/>
              </w:rPr>
              <w:t>2</w:t>
            </w:r>
          </w:p>
        </w:tc>
        <w:tc>
          <w:tcPr>
            <w:tcW w:w="2260" w:type="dxa"/>
            <w:tcBorders>
              <w:top w:val="nil"/>
              <w:left w:val="nil"/>
              <w:bottom w:val="single" w:sz="8" w:space="0" w:color="05ACD8"/>
              <w:right w:val="single" w:sz="8" w:space="0" w:color="05ACD8"/>
            </w:tcBorders>
            <w:shd w:val="clear" w:color="000000" w:fill="32BECB"/>
            <w:vAlign w:val="center"/>
            <w:hideMark/>
          </w:tcPr>
          <w:p w14:paraId="6E569BC4" w14:textId="383CDDCB" w:rsidR="00964518" w:rsidRPr="000B57C5" w:rsidRDefault="00272D59" w:rsidP="00964518">
            <w:pPr>
              <w:spacing w:after="0" w:line="240" w:lineRule="auto"/>
              <w:jc w:val="center"/>
              <w:rPr>
                <w:rFonts w:ascii="Montserrat" w:eastAsia="Times New Roman" w:hAnsi="Montserrat" w:cs="Times New Roman"/>
                <w:b/>
                <w:bCs/>
                <w:color w:val="0D0409"/>
                <w:sz w:val="18"/>
                <w:szCs w:val="18"/>
                <w:lang w:eastAsia="pt-BR"/>
              </w:rPr>
            </w:pPr>
            <w:r>
              <w:rPr>
                <w:rFonts w:ascii="Montserrat" w:eastAsia="Times New Roman" w:hAnsi="Montserrat" w:cs="Times New Roman"/>
                <w:b/>
                <w:bCs/>
                <w:color w:val="0D0409"/>
                <w:sz w:val="18"/>
                <w:szCs w:val="18"/>
                <w:lang w:eastAsia="pt-BR"/>
              </w:rPr>
              <w:t>29</w:t>
            </w:r>
            <w:r w:rsidR="00681C47">
              <w:rPr>
                <w:rFonts w:ascii="Montserrat" w:eastAsia="Times New Roman" w:hAnsi="Montserrat" w:cs="Times New Roman"/>
                <w:b/>
                <w:bCs/>
                <w:color w:val="0D0409"/>
                <w:sz w:val="18"/>
                <w:szCs w:val="18"/>
                <w:lang w:eastAsia="pt-BR"/>
              </w:rPr>
              <w:t>.000</w:t>
            </w:r>
          </w:p>
        </w:tc>
      </w:tr>
    </w:tbl>
    <w:p w14:paraId="6E0EFF7F" w14:textId="77777777" w:rsidR="00B319CB" w:rsidRPr="00B77954" w:rsidRDefault="00B319CB" w:rsidP="00A701F7">
      <w:pPr>
        <w:spacing w:after="0" w:line="276" w:lineRule="auto"/>
        <w:rPr>
          <w:rFonts w:ascii="Montserrat" w:hAnsi="Montserrat" w:cs="Tahoma"/>
          <w:sz w:val="20"/>
          <w:szCs w:val="20"/>
        </w:rPr>
      </w:pPr>
    </w:p>
    <w:p w14:paraId="63C7885C" w14:textId="77777777" w:rsidR="00561AF0" w:rsidRDefault="00561AF0" w:rsidP="00B73C4C">
      <w:pPr>
        <w:widowControl w:val="0"/>
        <w:spacing w:after="0" w:line="276" w:lineRule="auto"/>
        <w:jc w:val="both"/>
        <w:rPr>
          <w:rFonts w:ascii="Montserrat" w:eastAsia="Trebuchet MS" w:hAnsi="Montserrat" w:cs="Calibri"/>
          <w:b/>
          <w:bCs/>
          <w:color w:val="000000"/>
          <w:sz w:val="20"/>
          <w:szCs w:val="20"/>
        </w:rPr>
      </w:pPr>
    </w:p>
    <w:p w14:paraId="0FBC672B" w14:textId="28D3E366" w:rsidR="00B73C4C" w:rsidRPr="00B73C4C" w:rsidRDefault="00B73C4C" w:rsidP="00B73C4C">
      <w:pPr>
        <w:widowControl w:val="0"/>
        <w:spacing w:after="0" w:line="276" w:lineRule="auto"/>
        <w:jc w:val="both"/>
        <w:rPr>
          <w:rFonts w:ascii="Montserrat" w:eastAsia="Trebuchet MS" w:hAnsi="Montserrat" w:cs="Calibri"/>
          <w:b/>
          <w:bCs/>
          <w:color w:val="000000"/>
          <w:sz w:val="20"/>
          <w:szCs w:val="20"/>
        </w:rPr>
      </w:pPr>
      <w:r w:rsidRPr="00B73C4C">
        <w:rPr>
          <w:rFonts w:ascii="Montserrat" w:eastAsia="Trebuchet MS" w:hAnsi="Montserrat" w:cs="Calibri"/>
          <w:b/>
          <w:bCs/>
          <w:color w:val="000000"/>
          <w:sz w:val="20"/>
          <w:szCs w:val="20"/>
        </w:rPr>
        <w:t>FOI DISPENSADA A DIVULGAÇÃO DE PROSPECTO E DA LÂMINA DA OFERTA PARA A REALIZAÇÃO DESTA OFERTA. ADICIONALMENTE, TENDO EM VISTA QUE A OFERTA FOI DESTINADA EXCLUSIVAMENTE A INVESTIDORES PROFISSIONAIS, ESTANDO, PORTANTO, SUJEITA AO RITO DE REGISTRO AUTOMÁTICO DE DISTRIBUIÇÃO, OS CRI ESTARÃO SUJEITOS A RESTRIÇÕES À REVENDA.</w:t>
      </w:r>
    </w:p>
    <w:p w14:paraId="49CE8814" w14:textId="77777777" w:rsidR="00B73C4C" w:rsidRPr="00B73C4C" w:rsidRDefault="00B73C4C" w:rsidP="00B73C4C">
      <w:pPr>
        <w:widowControl w:val="0"/>
        <w:spacing w:after="0" w:line="276" w:lineRule="auto"/>
        <w:jc w:val="both"/>
        <w:rPr>
          <w:rFonts w:ascii="Montserrat" w:eastAsia="Trebuchet MS" w:hAnsi="Montserrat" w:cs="Calibri"/>
          <w:b/>
          <w:bCs/>
          <w:color w:val="000000"/>
          <w:sz w:val="20"/>
          <w:szCs w:val="20"/>
        </w:rPr>
      </w:pPr>
    </w:p>
    <w:p w14:paraId="2B9D1F6D" w14:textId="77777777" w:rsidR="00561AF0" w:rsidRDefault="00561AF0" w:rsidP="00B73C4C">
      <w:pPr>
        <w:widowControl w:val="0"/>
        <w:spacing w:after="0" w:line="276" w:lineRule="auto"/>
        <w:jc w:val="both"/>
        <w:rPr>
          <w:rFonts w:ascii="Montserrat" w:eastAsia="Trebuchet MS" w:hAnsi="Montserrat" w:cs="Calibri"/>
          <w:b/>
          <w:bCs/>
          <w:color w:val="000000"/>
          <w:sz w:val="20"/>
          <w:szCs w:val="20"/>
        </w:rPr>
      </w:pPr>
    </w:p>
    <w:p w14:paraId="13474E98" w14:textId="09A8CBBF" w:rsidR="00B73C4C" w:rsidRPr="00B73C4C" w:rsidRDefault="00B73C4C" w:rsidP="00B73C4C">
      <w:pPr>
        <w:widowControl w:val="0"/>
        <w:spacing w:after="0" w:line="276" w:lineRule="auto"/>
        <w:jc w:val="both"/>
        <w:rPr>
          <w:rFonts w:ascii="Montserrat" w:eastAsia="Trebuchet MS" w:hAnsi="Montserrat" w:cs="Calibri"/>
          <w:b/>
          <w:bCs/>
          <w:color w:val="000000"/>
          <w:sz w:val="20"/>
          <w:szCs w:val="20"/>
        </w:rPr>
      </w:pPr>
      <w:r w:rsidRPr="00B73C4C">
        <w:rPr>
          <w:rFonts w:ascii="Montserrat" w:eastAsia="Trebuchet MS" w:hAnsi="Montserrat" w:cs="Calibri"/>
          <w:b/>
          <w:bCs/>
          <w:color w:val="000000"/>
          <w:sz w:val="20"/>
          <w:szCs w:val="20"/>
        </w:rPr>
        <w:t>AINDA, CONSIDERANDO QUE A OFERTA ESTÁ SUJEITA AO RITO DE REGISTRO AUTOMÁTICO DE DISTRIBUIÇÃO, O REGISTRO DA OFERTA NÃO PRESCINDIU DE ANÁLISE PRÉVIA DA CVM. NESSE SENTIDO, OS DOCUMENTOS RELATIVOS AOS CRI E À OFERTA NÃO FORAM OBJETO DE REVISÃO PELA CVM.</w:t>
      </w:r>
    </w:p>
    <w:p w14:paraId="319EE334" w14:textId="77777777" w:rsidR="00B73C4C" w:rsidRPr="00B73C4C" w:rsidRDefault="00B73C4C" w:rsidP="00B73C4C">
      <w:pPr>
        <w:widowControl w:val="0"/>
        <w:spacing w:after="0" w:line="276" w:lineRule="auto"/>
        <w:jc w:val="both"/>
        <w:rPr>
          <w:rFonts w:ascii="Montserrat" w:eastAsia="Trebuchet MS" w:hAnsi="Montserrat" w:cs="Calibri"/>
          <w:b/>
          <w:bCs/>
          <w:color w:val="000000"/>
          <w:sz w:val="20"/>
          <w:szCs w:val="20"/>
        </w:rPr>
      </w:pPr>
    </w:p>
    <w:p w14:paraId="0D74F4C1" w14:textId="52303221" w:rsidR="00415AE3" w:rsidRDefault="00B73C4C" w:rsidP="00B73C4C">
      <w:pPr>
        <w:widowControl w:val="0"/>
        <w:spacing w:after="0" w:line="276" w:lineRule="auto"/>
        <w:jc w:val="both"/>
        <w:rPr>
          <w:rFonts w:ascii="Montserrat" w:eastAsia="Trebuchet MS" w:hAnsi="Montserrat" w:cs="Calibri"/>
          <w:b/>
          <w:bCs/>
          <w:color w:val="000000"/>
          <w:sz w:val="20"/>
          <w:szCs w:val="20"/>
        </w:rPr>
      </w:pPr>
      <w:r w:rsidRPr="00B73C4C">
        <w:rPr>
          <w:rFonts w:ascii="Montserrat" w:eastAsia="Trebuchet MS" w:hAnsi="Montserrat" w:cs="Calibri"/>
          <w:b/>
          <w:bCs/>
          <w:color w:val="000000"/>
          <w:sz w:val="20"/>
          <w:szCs w:val="20"/>
        </w:rPr>
        <w:t xml:space="preserve">MAIORES INFORMAÇÕES SOBRE A DISTRIBUIÇÃO PODEM SER OBTIDAS </w:t>
      </w:r>
      <w:r w:rsidR="007E3F76">
        <w:rPr>
          <w:rFonts w:ascii="Montserrat" w:eastAsia="Trebuchet MS" w:hAnsi="Montserrat" w:cs="Calibri"/>
          <w:b/>
          <w:bCs/>
          <w:color w:val="000000"/>
          <w:sz w:val="20"/>
          <w:szCs w:val="20"/>
        </w:rPr>
        <w:t xml:space="preserve">NO SITE DA SECURITIZADORA </w:t>
      </w:r>
      <w:r w:rsidRPr="00B73C4C">
        <w:rPr>
          <w:rFonts w:ascii="Montserrat" w:eastAsia="Trebuchet MS" w:hAnsi="Montserrat" w:cs="Calibri"/>
          <w:b/>
          <w:bCs/>
          <w:color w:val="000000"/>
          <w:sz w:val="20"/>
          <w:szCs w:val="20"/>
        </w:rPr>
        <w:t>OU COM A CVM.</w:t>
      </w:r>
    </w:p>
    <w:p w14:paraId="48630796" w14:textId="77777777" w:rsidR="007E3F76" w:rsidRDefault="007E3F76" w:rsidP="00B73C4C">
      <w:pPr>
        <w:widowControl w:val="0"/>
        <w:spacing w:after="0" w:line="276" w:lineRule="auto"/>
        <w:jc w:val="both"/>
        <w:rPr>
          <w:rFonts w:ascii="Montserrat" w:eastAsia="Trebuchet MS" w:hAnsi="Montserrat" w:cs="Calibri"/>
          <w:b/>
          <w:bCs/>
          <w:color w:val="000000"/>
          <w:sz w:val="20"/>
          <w:szCs w:val="20"/>
        </w:rPr>
      </w:pPr>
    </w:p>
    <w:p w14:paraId="246BF509" w14:textId="77777777" w:rsidR="00415AE3" w:rsidRDefault="00415AE3" w:rsidP="00A86B7C">
      <w:pPr>
        <w:widowControl w:val="0"/>
        <w:spacing w:after="0" w:line="276" w:lineRule="auto"/>
        <w:jc w:val="both"/>
        <w:rPr>
          <w:rFonts w:ascii="Montserrat" w:eastAsia="Trebuchet MS" w:hAnsi="Montserrat" w:cs="Calibri"/>
          <w:b/>
          <w:bCs/>
          <w:color w:val="000000"/>
          <w:sz w:val="20"/>
          <w:szCs w:val="20"/>
        </w:rPr>
      </w:pPr>
    </w:p>
    <w:p w14:paraId="32E54121" w14:textId="0E361FE7" w:rsidR="00A701F7" w:rsidRPr="00B77954" w:rsidRDefault="007E3F83" w:rsidP="00A701F7">
      <w:pPr>
        <w:spacing w:after="0" w:line="276" w:lineRule="auto"/>
        <w:jc w:val="center"/>
        <w:rPr>
          <w:rFonts w:ascii="Montserrat" w:hAnsi="Montserrat" w:cs="Tahoma"/>
          <w:noProof/>
          <w:sz w:val="20"/>
          <w:szCs w:val="20"/>
        </w:rPr>
      </w:pPr>
      <w:r w:rsidRPr="007E3F83">
        <w:rPr>
          <w:rFonts w:ascii="Montserrat" w:hAnsi="Montserrat" w:cs="Tahoma"/>
          <w:noProof/>
          <w:sz w:val="20"/>
          <w:szCs w:val="20"/>
        </w:rPr>
        <w:t xml:space="preserve">A data deste Anúncio de Encerramento é </w:t>
      </w:r>
      <w:r w:rsidR="00272D59">
        <w:rPr>
          <w:rFonts w:ascii="Montserrat" w:hAnsi="Montserrat" w:cs="Tahoma"/>
          <w:noProof/>
          <w:sz w:val="20"/>
          <w:szCs w:val="20"/>
        </w:rPr>
        <w:t>01</w:t>
      </w:r>
      <w:r w:rsidRPr="007E3F83">
        <w:rPr>
          <w:rFonts w:ascii="Montserrat" w:hAnsi="Montserrat" w:cs="Tahoma"/>
          <w:noProof/>
          <w:sz w:val="20"/>
          <w:szCs w:val="20"/>
        </w:rPr>
        <w:t xml:space="preserve"> de </w:t>
      </w:r>
      <w:r w:rsidR="00272D59">
        <w:rPr>
          <w:rFonts w:ascii="Montserrat" w:hAnsi="Montserrat" w:cs="Tahoma"/>
          <w:noProof/>
          <w:sz w:val="20"/>
          <w:szCs w:val="20"/>
        </w:rPr>
        <w:t>setembro</w:t>
      </w:r>
      <w:r w:rsidRPr="007E3F83">
        <w:rPr>
          <w:rFonts w:ascii="Montserrat" w:hAnsi="Montserrat" w:cs="Tahoma"/>
          <w:noProof/>
          <w:sz w:val="20"/>
          <w:szCs w:val="20"/>
        </w:rPr>
        <w:t xml:space="preserve"> de 2025</w:t>
      </w:r>
      <w:r w:rsidR="00675A16">
        <w:rPr>
          <w:rFonts w:ascii="Montserrat" w:hAnsi="Montserrat" w:cs="Tahoma"/>
          <w:noProof/>
          <w:sz w:val="20"/>
          <w:szCs w:val="20"/>
        </w:rPr>
        <w:t>.</w:t>
      </w:r>
    </w:p>
    <w:p w14:paraId="3EC1B330" w14:textId="122C5642" w:rsidR="00557F44" w:rsidRDefault="00557F44" w:rsidP="003A3EBE">
      <w:pPr>
        <w:spacing w:after="0" w:line="276" w:lineRule="auto"/>
        <w:rPr>
          <w:rFonts w:ascii="Montserrat" w:hAnsi="Montserrat" w:cs="Tahoma"/>
          <w:noProof/>
          <w:sz w:val="20"/>
          <w:szCs w:val="20"/>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A3EBE" w14:paraId="371E0A96" w14:textId="77777777" w:rsidTr="009941BD">
        <w:tc>
          <w:tcPr>
            <w:tcW w:w="3485" w:type="dxa"/>
            <w:vAlign w:val="center"/>
          </w:tcPr>
          <w:p w14:paraId="7868C8F2" w14:textId="40209D42" w:rsidR="003A3EBE" w:rsidRDefault="003A3EBE" w:rsidP="003A3EBE">
            <w:pPr>
              <w:spacing w:before="0" w:after="0"/>
              <w:jc w:val="center"/>
              <w:rPr>
                <w:rFonts w:ascii="Montserrat" w:hAnsi="Montserrat" w:cs="Tahoma"/>
                <w:noProof/>
              </w:rPr>
            </w:pPr>
            <w:r w:rsidRPr="00B77954">
              <w:rPr>
                <w:rFonts w:ascii="Montserrat" w:hAnsi="Montserrat"/>
                <w:noProof/>
              </w:rPr>
              <w:drawing>
                <wp:anchor distT="0" distB="0" distL="114300" distR="114300" simplePos="0" relativeHeight="251658242" behindDoc="1" locked="0" layoutInCell="1" allowOverlap="1" wp14:anchorId="3E3DD3B4" wp14:editId="05F99504">
                  <wp:simplePos x="0" y="0"/>
                  <wp:positionH relativeFrom="margin">
                    <wp:posOffset>118745</wp:posOffset>
                  </wp:positionH>
                  <wp:positionV relativeFrom="paragraph">
                    <wp:posOffset>-26670</wp:posOffset>
                  </wp:positionV>
                  <wp:extent cx="1240155" cy="709930"/>
                  <wp:effectExtent l="0" t="0" r="0" b="0"/>
                  <wp:wrapTight wrapText="bothSides">
                    <wp:wrapPolygon edited="0">
                      <wp:start x="0" y="0"/>
                      <wp:lineTo x="0" y="20866"/>
                      <wp:lineTo x="21235" y="20866"/>
                      <wp:lineTo x="21235" y="0"/>
                      <wp:lineTo x="0" y="0"/>
                    </wp:wrapPolygon>
                  </wp:wrapTight>
                  <wp:docPr id="1176583467" name="Imagem 1176583467"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Interface gráfica do usuário, Text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240155" cy="709930"/>
                          </a:xfrm>
                          <a:prstGeom prst="rect">
                            <a:avLst/>
                          </a:prstGeom>
                        </pic:spPr>
                      </pic:pic>
                    </a:graphicData>
                  </a:graphic>
                  <wp14:sizeRelH relativeFrom="margin">
                    <wp14:pctWidth>0</wp14:pctWidth>
                  </wp14:sizeRelH>
                  <wp14:sizeRelV relativeFrom="margin">
                    <wp14:pctHeight>0</wp14:pctHeight>
                  </wp14:sizeRelV>
                </wp:anchor>
              </w:drawing>
            </w:r>
          </w:p>
        </w:tc>
        <w:tc>
          <w:tcPr>
            <w:tcW w:w="3485" w:type="dxa"/>
            <w:vAlign w:val="center"/>
          </w:tcPr>
          <w:p w14:paraId="66F1DCC1" w14:textId="09B99659" w:rsidR="003A3EBE" w:rsidRDefault="003A3EBE" w:rsidP="003A3EBE">
            <w:pPr>
              <w:spacing w:before="0" w:after="0"/>
              <w:jc w:val="center"/>
              <w:rPr>
                <w:rFonts w:ascii="Montserrat" w:hAnsi="Montserrat" w:cs="Tahoma"/>
                <w:noProof/>
              </w:rPr>
            </w:pPr>
            <w:r w:rsidRPr="00B77954">
              <w:rPr>
                <w:rFonts w:ascii="Montserrat" w:hAnsi="Montserrat"/>
                <w:noProof/>
              </w:rPr>
              <w:drawing>
                <wp:anchor distT="0" distB="0" distL="114300" distR="114300" simplePos="0" relativeHeight="251658241" behindDoc="1" locked="0" layoutInCell="1" allowOverlap="1" wp14:anchorId="4A8FD294" wp14:editId="425741F9">
                  <wp:simplePos x="0" y="0"/>
                  <wp:positionH relativeFrom="column">
                    <wp:posOffset>650875</wp:posOffset>
                  </wp:positionH>
                  <wp:positionV relativeFrom="paragraph">
                    <wp:posOffset>103505</wp:posOffset>
                  </wp:positionV>
                  <wp:extent cx="1231265" cy="789305"/>
                  <wp:effectExtent l="0" t="0" r="6985" b="0"/>
                  <wp:wrapTight wrapText="bothSides">
                    <wp:wrapPolygon edited="0">
                      <wp:start x="0" y="0"/>
                      <wp:lineTo x="0" y="20853"/>
                      <wp:lineTo x="21388" y="20853"/>
                      <wp:lineTo x="21388" y="0"/>
                      <wp:lineTo x="0" y="0"/>
                    </wp:wrapPolygon>
                  </wp:wrapTight>
                  <wp:docPr id="562670228"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39861" name="Imagem 1" descr="Interface gráfica do usuári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1265" cy="789305"/>
                          </a:xfrm>
                          <a:prstGeom prst="rect">
                            <a:avLst/>
                          </a:prstGeom>
                        </pic:spPr>
                      </pic:pic>
                    </a:graphicData>
                  </a:graphic>
                  <wp14:sizeRelH relativeFrom="margin">
                    <wp14:pctWidth>0</wp14:pctWidth>
                  </wp14:sizeRelH>
                  <wp14:sizeRelV relativeFrom="margin">
                    <wp14:pctHeight>0</wp14:pctHeight>
                  </wp14:sizeRelV>
                </wp:anchor>
              </w:drawing>
            </w:r>
          </w:p>
        </w:tc>
        <w:tc>
          <w:tcPr>
            <w:tcW w:w="3486" w:type="dxa"/>
            <w:vAlign w:val="center"/>
          </w:tcPr>
          <w:p w14:paraId="67AEC73B" w14:textId="44762B3C" w:rsidR="003A3EBE" w:rsidRDefault="00293B50" w:rsidP="003A3EBE">
            <w:pPr>
              <w:spacing w:before="0" w:after="0"/>
              <w:jc w:val="center"/>
              <w:rPr>
                <w:rFonts w:ascii="Montserrat" w:hAnsi="Montserrat" w:cs="Tahoma"/>
                <w:noProof/>
              </w:rPr>
            </w:pPr>
            <w:r w:rsidRPr="00323092">
              <w:rPr>
                <w:rFonts w:ascii="Times New Roman" w:hAnsi="Times New Roman" w:cs="Times New Roman"/>
                <w:noProof/>
                <w:lang w:eastAsia="zh-CN" w:bidi="th-TH"/>
              </w:rPr>
              <w:drawing>
                <wp:anchor distT="0" distB="0" distL="114300" distR="114300" simplePos="0" relativeHeight="251658243" behindDoc="1" locked="0" layoutInCell="1" allowOverlap="1" wp14:anchorId="046584BA" wp14:editId="7C23F7C6">
                  <wp:simplePos x="0" y="0"/>
                  <wp:positionH relativeFrom="column">
                    <wp:posOffset>791845</wp:posOffset>
                  </wp:positionH>
                  <wp:positionV relativeFrom="paragraph">
                    <wp:posOffset>104775</wp:posOffset>
                  </wp:positionV>
                  <wp:extent cx="1344930" cy="714375"/>
                  <wp:effectExtent l="0" t="0" r="7620" b="9525"/>
                  <wp:wrapTight wrapText="bothSides">
                    <wp:wrapPolygon edited="0">
                      <wp:start x="0" y="0"/>
                      <wp:lineTo x="0" y="21312"/>
                      <wp:lineTo x="21416" y="21312"/>
                      <wp:lineTo x="21416" y="0"/>
                      <wp:lineTo x="0" y="0"/>
                    </wp:wrapPolygon>
                  </wp:wrapTight>
                  <wp:docPr id="12" name="Imagem 12"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Interface gráfica do usuário, Aplicativo&#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93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9A396FE" w14:textId="508EA72C" w:rsidR="003A3EBE" w:rsidRDefault="00027544" w:rsidP="003A3EBE">
      <w:pPr>
        <w:spacing w:after="0" w:line="276" w:lineRule="auto"/>
        <w:rPr>
          <w:rFonts w:ascii="Montserrat" w:hAnsi="Montserrat" w:cs="Tahoma"/>
          <w:noProof/>
          <w:sz w:val="20"/>
          <w:szCs w:val="20"/>
        </w:rPr>
      </w:pPr>
      <w:r>
        <w:rPr>
          <w:rFonts w:ascii="Montserrat" w:hAnsi="Montserrat" w:cs="Tahoma"/>
          <w:noProof/>
          <w:sz w:val="20"/>
          <w:szCs w:val="20"/>
        </w:rPr>
        <w:br/>
      </w:r>
    </w:p>
    <w:tbl>
      <w:tblPr>
        <w:tblpPr w:leftFromText="141" w:rightFromText="141" w:vertAnchor="text" w:horzAnchor="page" w:tblpX="1379" w:tblpY="-19"/>
        <w:tblW w:w="1966" w:type="pct"/>
        <w:tblLook w:val="04A0" w:firstRow="1" w:lastRow="0" w:firstColumn="1" w:lastColumn="0" w:noHBand="0" w:noVBand="1"/>
      </w:tblPr>
      <w:tblGrid>
        <w:gridCol w:w="4115"/>
      </w:tblGrid>
      <w:tr w:rsidR="00272D59" w:rsidRPr="008003CB" w14:paraId="2B80C643" w14:textId="77777777" w:rsidTr="00272D59">
        <w:trPr>
          <w:trHeight w:val="41"/>
        </w:trPr>
        <w:tc>
          <w:tcPr>
            <w:tcW w:w="5000" w:type="pct"/>
            <w:vAlign w:val="center"/>
          </w:tcPr>
          <w:p w14:paraId="4733DBB7" w14:textId="77777777" w:rsidR="00272D59" w:rsidRPr="00B77954" w:rsidRDefault="00272D59" w:rsidP="00272D59">
            <w:pPr>
              <w:spacing w:after="0" w:line="276" w:lineRule="auto"/>
              <w:jc w:val="center"/>
              <w:rPr>
                <w:rFonts w:ascii="Montserrat" w:hAnsi="Montserrat" w:cs="Tahoma"/>
                <w:b/>
                <w:smallCaps/>
                <w:sz w:val="20"/>
                <w:szCs w:val="20"/>
              </w:rPr>
            </w:pPr>
            <w:r>
              <w:rPr>
                <w:rFonts w:ascii="Montserrat" w:hAnsi="Montserrat" w:cs="Tahoma"/>
                <w:b/>
                <w:smallCaps/>
                <w:sz w:val="20"/>
                <w:szCs w:val="20"/>
              </w:rPr>
              <w:t>EMISSORA</w:t>
            </w:r>
          </w:p>
        </w:tc>
      </w:tr>
    </w:tbl>
    <w:p w14:paraId="4FDA9CF7" w14:textId="25E9C77E" w:rsidR="00A701F7" w:rsidRPr="009941BD" w:rsidRDefault="00272D59" w:rsidP="007E3F76">
      <w:pPr>
        <w:spacing w:after="0" w:line="276" w:lineRule="auto"/>
        <w:rPr>
          <w:rFonts w:ascii="Montserrat" w:hAnsi="Montserrat" w:cs="Tahoma"/>
          <w:sz w:val="20"/>
          <w:szCs w:val="20"/>
        </w:rPr>
      </w:pPr>
      <w:r w:rsidRPr="00272D59">
        <w:rPr>
          <w:rFonts w:ascii="Montserrat" w:hAnsi="Montserrat" w:cs="Tahoma"/>
          <w:b/>
          <w:bCs/>
          <w:noProof/>
          <w:sz w:val="20"/>
          <w:szCs w:val="20"/>
        </w:rPr>
        <w:drawing>
          <wp:anchor distT="0" distB="0" distL="114300" distR="114300" simplePos="0" relativeHeight="251661316" behindDoc="1" locked="0" layoutInCell="1" allowOverlap="1" wp14:anchorId="0427EFEB" wp14:editId="46B2452A">
            <wp:simplePos x="0" y="0"/>
            <wp:positionH relativeFrom="column">
              <wp:posOffset>3748129</wp:posOffset>
            </wp:positionH>
            <wp:positionV relativeFrom="paragraph">
              <wp:posOffset>245386</wp:posOffset>
            </wp:positionV>
            <wp:extent cx="1852295" cy="541655"/>
            <wp:effectExtent l="0" t="0" r="0" b="0"/>
            <wp:wrapNone/>
            <wp:docPr id="165237528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2295" cy="541655"/>
                    </a:xfrm>
                    <a:prstGeom prst="rect">
                      <a:avLst/>
                    </a:prstGeom>
                    <a:noFill/>
                    <a:ln>
                      <a:noFill/>
                    </a:ln>
                  </pic:spPr>
                </pic:pic>
              </a:graphicData>
            </a:graphic>
          </wp:anchor>
        </w:drawing>
      </w:r>
      <w:r w:rsidRPr="00B77954">
        <w:rPr>
          <w:rFonts w:ascii="Montserrat" w:hAnsi="Montserrat" w:cs="Tahoma"/>
          <w:b/>
          <w:bCs/>
          <w:noProof/>
          <w:sz w:val="20"/>
          <w:szCs w:val="20"/>
        </w:rPr>
        <w:drawing>
          <wp:anchor distT="0" distB="0" distL="114300" distR="114300" simplePos="0" relativeHeight="251660292" behindDoc="0" locked="0" layoutInCell="1" allowOverlap="1" wp14:anchorId="7D2BBE17" wp14:editId="73D98E4C">
            <wp:simplePos x="0" y="0"/>
            <wp:positionH relativeFrom="margin">
              <wp:posOffset>870585</wp:posOffset>
            </wp:positionH>
            <wp:positionV relativeFrom="paragraph">
              <wp:posOffset>281305</wp:posOffset>
            </wp:positionV>
            <wp:extent cx="1644015" cy="497205"/>
            <wp:effectExtent l="0" t="0" r="0" b="0"/>
            <wp:wrapTopAndBottom/>
            <wp:docPr id="2013963688" name="Imagem 1"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45924" name="Imagem 1" descr="Logotipo&#10;&#10;Descrição gerada automaticamente com confiança mé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4015" cy="497205"/>
                    </a:xfrm>
                    <a:prstGeom prst="rect">
                      <a:avLst/>
                    </a:prstGeom>
                  </pic:spPr>
                </pic:pic>
              </a:graphicData>
            </a:graphic>
            <wp14:sizeRelH relativeFrom="margin">
              <wp14:pctWidth>0</wp14:pctWidth>
            </wp14:sizeRelH>
            <wp14:sizeRelV relativeFrom="margin">
              <wp14:pctHeight>0</wp14:pctHeight>
            </wp14:sizeRelV>
          </wp:anchor>
        </w:drawing>
      </w:r>
      <w:r w:rsidRPr="00B77954">
        <w:rPr>
          <w:rFonts w:ascii="Montserrat" w:hAnsi="Montserrat" w:cs="Tahoma"/>
          <w:b/>
          <w:bCs/>
          <w:noProof/>
          <w:sz w:val="20"/>
          <w:szCs w:val="20"/>
        </w:rPr>
        <w:t xml:space="preserve"> </w:t>
      </w:r>
      <w:r>
        <w:rPr>
          <w:rFonts w:ascii="Montserrat" w:hAnsi="Montserrat" w:cs="Tahoma"/>
          <w:b/>
          <w:bCs/>
          <w:noProof/>
          <w:sz w:val="20"/>
          <w:szCs w:val="20"/>
        </w:rPr>
        <w:tab/>
      </w:r>
      <w:r>
        <w:rPr>
          <w:rFonts w:ascii="Montserrat" w:hAnsi="Montserrat" w:cs="Tahoma"/>
          <w:b/>
          <w:bCs/>
          <w:noProof/>
          <w:sz w:val="20"/>
          <w:szCs w:val="20"/>
        </w:rPr>
        <w:tab/>
        <w:t xml:space="preserve">  ASSESSOR LEGAL DA OFERTA</w:t>
      </w:r>
    </w:p>
    <w:sectPr w:rsidR="00A701F7" w:rsidRPr="009941BD" w:rsidSect="00B77954">
      <w:headerReference w:type="default" r:id="rId15"/>
      <w:footerReference w:type="default" r:id="rId16"/>
      <w:pgSz w:w="11906" w:h="16838"/>
      <w:pgMar w:top="175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67FF" w14:textId="77777777" w:rsidR="00466301" w:rsidRDefault="00466301" w:rsidP="001A45A8">
      <w:pPr>
        <w:spacing w:after="0" w:line="240" w:lineRule="auto"/>
      </w:pPr>
      <w:r>
        <w:separator/>
      </w:r>
    </w:p>
  </w:endnote>
  <w:endnote w:type="continuationSeparator" w:id="0">
    <w:p w14:paraId="6DD25D2A" w14:textId="77777777" w:rsidR="00466301" w:rsidRDefault="00466301" w:rsidP="001A45A8">
      <w:pPr>
        <w:spacing w:after="0" w:line="240" w:lineRule="auto"/>
      </w:pPr>
      <w:r>
        <w:continuationSeparator/>
      </w:r>
    </w:p>
  </w:endnote>
  <w:endnote w:type="continuationNotice" w:id="1">
    <w:p w14:paraId="38A6D52B" w14:textId="77777777" w:rsidR="00466301" w:rsidRDefault="00466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Publico Black">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TC Avant Garde Pro Md">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DD" w14:textId="3D09A8DE" w:rsidR="00F31C0D" w:rsidRDefault="00F31C0D">
    <w:pPr>
      <w:pStyle w:val="Rodap"/>
    </w:pPr>
    <w:r>
      <w:rPr>
        <w:noProof/>
      </w:rPr>
      <mc:AlternateContent>
        <mc:Choice Requires="wps">
          <w:drawing>
            <wp:anchor distT="0" distB="0" distL="114300" distR="114300" simplePos="0" relativeHeight="251658241" behindDoc="0" locked="0" layoutInCell="1" allowOverlap="1" wp14:anchorId="36A01B79" wp14:editId="132EA8A8">
              <wp:simplePos x="0" y="0"/>
              <wp:positionH relativeFrom="margin">
                <wp:posOffset>-510449</wp:posOffset>
              </wp:positionH>
              <wp:positionV relativeFrom="paragraph">
                <wp:posOffset>420370</wp:posOffset>
              </wp:positionV>
              <wp:extent cx="7606030" cy="182880"/>
              <wp:effectExtent l="0" t="0" r="0" b="7620"/>
              <wp:wrapNone/>
              <wp:docPr id="1545702681" name="Rectangle 2"/>
              <wp:cNvGraphicFramePr/>
              <a:graphic xmlns:a="http://schemas.openxmlformats.org/drawingml/2006/main">
                <a:graphicData uri="http://schemas.microsoft.com/office/word/2010/wordprocessingShape">
                  <wps:wsp>
                    <wps:cNvSpPr/>
                    <wps:spPr>
                      <a:xfrm>
                        <a:off x="0" y="0"/>
                        <a:ext cx="7606030" cy="182880"/>
                      </a:xfrm>
                      <a:prstGeom prst="rect">
                        <a:avLst/>
                      </a:prstGeom>
                      <a:gradFill flip="none" rotWithShape="1">
                        <a:gsLst>
                          <a:gs pos="100000">
                            <a:srgbClr val="00ACD8"/>
                          </a:gs>
                          <a:gs pos="0">
                            <a:srgbClr val="9E36EF"/>
                          </a:gs>
                        </a:gsLst>
                        <a:lin ang="2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E20A15" id="Rectangle 2" o:spid="_x0000_s1026" style="position:absolute;margin-left:-40.2pt;margin-top:33.1pt;width:598.9pt;height:14.4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" fillcolor="#9e36ef" stroked="f" strokeweight="1pt">
              <v:fill color2="#00acd8" rotate="t" angle="50" focus="100%" type="gradient">
                <o:fill v:ext="view" type="gradientUnscaled"/>
              </v:fill>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B1E3" w14:textId="77777777" w:rsidR="00466301" w:rsidRDefault="00466301" w:rsidP="001A45A8">
      <w:pPr>
        <w:spacing w:after="0" w:line="240" w:lineRule="auto"/>
      </w:pPr>
      <w:r>
        <w:separator/>
      </w:r>
    </w:p>
  </w:footnote>
  <w:footnote w:type="continuationSeparator" w:id="0">
    <w:p w14:paraId="39E4062F" w14:textId="77777777" w:rsidR="00466301" w:rsidRDefault="00466301" w:rsidP="001A45A8">
      <w:pPr>
        <w:spacing w:after="0" w:line="240" w:lineRule="auto"/>
      </w:pPr>
      <w:r>
        <w:continuationSeparator/>
      </w:r>
    </w:p>
  </w:footnote>
  <w:footnote w:type="continuationNotice" w:id="1">
    <w:p w14:paraId="2AB89831" w14:textId="77777777" w:rsidR="00466301" w:rsidRDefault="00466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89FD" w14:textId="272102FC" w:rsidR="001A45A8" w:rsidRDefault="00AB72F1">
    <w:pPr>
      <w:pStyle w:val="Cabealho"/>
    </w:pPr>
    <w:r>
      <w:rPr>
        <w:i/>
        <w:iCs/>
        <w:noProof/>
        <w:szCs w:val="20"/>
      </w:rPr>
      <w:drawing>
        <wp:anchor distT="0" distB="0" distL="114300" distR="114300" simplePos="0" relativeHeight="251658240" behindDoc="0" locked="0" layoutInCell="1" allowOverlap="1" wp14:anchorId="1CF9133C" wp14:editId="50E9E0AF">
          <wp:simplePos x="0" y="0"/>
          <wp:positionH relativeFrom="column">
            <wp:posOffset>-465455</wp:posOffset>
          </wp:positionH>
          <wp:positionV relativeFrom="paragraph">
            <wp:posOffset>-439643</wp:posOffset>
          </wp:positionV>
          <wp:extent cx="7559675" cy="1048385"/>
          <wp:effectExtent l="0" t="0" r="3175" b="0"/>
          <wp:wrapThrough wrapText="bothSides">
            <wp:wrapPolygon edited="0">
              <wp:start x="0" y="0"/>
              <wp:lineTo x="0" y="21194"/>
              <wp:lineTo x="21555" y="21194"/>
              <wp:lineTo x="21555" y="0"/>
              <wp:lineTo x="0" y="0"/>
            </wp:wrapPolygon>
          </wp:wrapThrough>
          <wp:docPr id="20563995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48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905"/>
    <w:multiLevelType w:val="hybridMultilevel"/>
    <w:tmpl w:val="E4321206"/>
    <w:lvl w:ilvl="0" w:tplc="40D000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EF081F"/>
    <w:multiLevelType w:val="hybridMultilevel"/>
    <w:tmpl w:val="5EF43B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FCA2EC1"/>
    <w:multiLevelType w:val="hybridMultilevel"/>
    <w:tmpl w:val="DAD6D0B6"/>
    <w:lvl w:ilvl="0" w:tplc="85383A48">
      <w:start w:val="1"/>
      <w:numFmt w:val="lowerRoman"/>
      <w:lvlText w:val="(%1)"/>
      <w:lvlJc w:val="left"/>
      <w:pPr>
        <w:ind w:left="720" w:hanging="360"/>
      </w:pPr>
      <w:rPr>
        <w:rFonts w:hint="default"/>
        <w:b/>
        <w:bCs/>
        <w:spacing w:val="-1"/>
        <w:w w:val="1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68517F"/>
    <w:multiLevelType w:val="hybridMultilevel"/>
    <w:tmpl w:val="DFAED7BA"/>
    <w:lvl w:ilvl="0" w:tplc="40D00068">
      <w:start w:val="1"/>
      <w:numFmt w:val="decimal"/>
      <w:lvlText w:val="(%1)"/>
      <w:lvlJc w:val="left"/>
      <w:pPr>
        <w:ind w:left="720" w:hanging="360"/>
      </w:pPr>
      <w:rPr>
        <w:rFonts w:hint="default"/>
        <w:b/>
        <w:bCs/>
        <w:spacing w:val="-1"/>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225587"/>
    <w:multiLevelType w:val="singleLevel"/>
    <w:tmpl w:val="CE761BBC"/>
    <w:lvl w:ilvl="0">
      <w:start w:val="1"/>
      <w:numFmt w:val="decimal"/>
      <w:pStyle w:val="TITULOITENS"/>
      <w:suff w:val="nothing"/>
      <w:lvlText w:val="%1. "/>
      <w:lvlJc w:val="left"/>
      <w:pPr>
        <w:ind w:left="0" w:firstLine="0"/>
      </w:pPr>
      <w:rPr>
        <w:rFonts w:ascii="Montserrat" w:hAnsi="Montserrat" w:cs="Publico Black" w:hint="default"/>
        <w:b/>
        <w:bCs/>
        <w:i w:val="0"/>
      </w:rPr>
    </w:lvl>
  </w:abstractNum>
  <w:num w:numId="1" w16cid:durableId="885604064">
    <w:abstractNumId w:val="4"/>
  </w:num>
  <w:num w:numId="2" w16cid:durableId="1188913518">
    <w:abstractNumId w:val="4"/>
  </w:num>
  <w:num w:numId="3" w16cid:durableId="590503373">
    <w:abstractNumId w:val="4"/>
  </w:num>
  <w:num w:numId="4" w16cid:durableId="1389305222">
    <w:abstractNumId w:val="4"/>
  </w:num>
  <w:num w:numId="5" w16cid:durableId="707606010">
    <w:abstractNumId w:val="4"/>
  </w:num>
  <w:num w:numId="6" w16cid:durableId="1504592963">
    <w:abstractNumId w:val="1"/>
  </w:num>
  <w:num w:numId="7" w16cid:durableId="1070230135">
    <w:abstractNumId w:val="2"/>
  </w:num>
  <w:num w:numId="8" w16cid:durableId="1876309162">
    <w:abstractNumId w:val="0"/>
  </w:num>
  <w:num w:numId="9" w16cid:durableId="92808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26"/>
    <w:rsid w:val="000028F0"/>
    <w:rsid w:val="0000785E"/>
    <w:rsid w:val="0002409A"/>
    <w:rsid w:val="00027544"/>
    <w:rsid w:val="0003446C"/>
    <w:rsid w:val="00034C16"/>
    <w:rsid w:val="00044B8A"/>
    <w:rsid w:val="00046940"/>
    <w:rsid w:val="00060267"/>
    <w:rsid w:val="00062244"/>
    <w:rsid w:val="000710B3"/>
    <w:rsid w:val="00073A81"/>
    <w:rsid w:val="00074A6E"/>
    <w:rsid w:val="0008091E"/>
    <w:rsid w:val="000809D8"/>
    <w:rsid w:val="00082E9E"/>
    <w:rsid w:val="00086683"/>
    <w:rsid w:val="000919E3"/>
    <w:rsid w:val="00094986"/>
    <w:rsid w:val="00097F26"/>
    <w:rsid w:val="000A3E7F"/>
    <w:rsid w:val="000A477B"/>
    <w:rsid w:val="000B26C1"/>
    <w:rsid w:val="000B3488"/>
    <w:rsid w:val="000B43F4"/>
    <w:rsid w:val="000B4575"/>
    <w:rsid w:val="000B57C5"/>
    <w:rsid w:val="000D17CA"/>
    <w:rsid w:val="000D237A"/>
    <w:rsid w:val="000E40EB"/>
    <w:rsid w:val="000F7A00"/>
    <w:rsid w:val="001035FA"/>
    <w:rsid w:val="00104546"/>
    <w:rsid w:val="00117754"/>
    <w:rsid w:val="00126F87"/>
    <w:rsid w:val="001311C9"/>
    <w:rsid w:val="00131AD5"/>
    <w:rsid w:val="001324A7"/>
    <w:rsid w:val="00144499"/>
    <w:rsid w:val="001600C8"/>
    <w:rsid w:val="00160209"/>
    <w:rsid w:val="0016309E"/>
    <w:rsid w:val="001658E0"/>
    <w:rsid w:val="00171AA1"/>
    <w:rsid w:val="00174969"/>
    <w:rsid w:val="001749C3"/>
    <w:rsid w:val="00175851"/>
    <w:rsid w:val="00177AFB"/>
    <w:rsid w:val="001832D0"/>
    <w:rsid w:val="001841C2"/>
    <w:rsid w:val="0019378E"/>
    <w:rsid w:val="001A3550"/>
    <w:rsid w:val="001A45A8"/>
    <w:rsid w:val="001B0654"/>
    <w:rsid w:val="001B0697"/>
    <w:rsid w:val="001B23C9"/>
    <w:rsid w:val="001B5EE7"/>
    <w:rsid w:val="001C0CEC"/>
    <w:rsid w:val="001C2C5E"/>
    <w:rsid w:val="001C5921"/>
    <w:rsid w:val="001C6449"/>
    <w:rsid w:val="001C6C3A"/>
    <w:rsid w:val="001C76B3"/>
    <w:rsid w:val="001D0894"/>
    <w:rsid w:val="001D4E8A"/>
    <w:rsid w:val="001D4F23"/>
    <w:rsid w:val="001D7C74"/>
    <w:rsid w:val="001F0A40"/>
    <w:rsid w:val="00202097"/>
    <w:rsid w:val="002028D3"/>
    <w:rsid w:val="00212AFF"/>
    <w:rsid w:val="002136A9"/>
    <w:rsid w:val="00213EB0"/>
    <w:rsid w:val="002153A4"/>
    <w:rsid w:val="00215533"/>
    <w:rsid w:val="00221387"/>
    <w:rsid w:val="00223B20"/>
    <w:rsid w:val="00226C47"/>
    <w:rsid w:val="00231463"/>
    <w:rsid w:val="00232332"/>
    <w:rsid w:val="0023386B"/>
    <w:rsid w:val="002343C0"/>
    <w:rsid w:val="002354F9"/>
    <w:rsid w:val="002362C5"/>
    <w:rsid w:val="00245156"/>
    <w:rsid w:val="002463CB"/>
    <w:rsid w:val="00250535"/>
    <w:rsid w:val="0025055E"/>
    <w:rsid w:val="002512A8"/>
    <w:rsid w:val="0026076B"/>
    <w:rsid w:val="00260881"/>
    <w:rsid w:val="00272D59"/>
    <w:rsid w:val="00275FCE"/>
    <w:rsid w:val="0027677D"/>
    <w:rsid w:val="00280928"/>
    <w:rsid w:val="002830CF"/>
    <w:rsid w:val="0028688C"/>
    <w:rsid w:val="00293B50"/>
    <w:rsid w:val="002A33EA"/>
    <w:rsid w:val="002A3BA0"/>
    <w:rsid w:val="002C05A8"/>
    <w:rsid w:val="002D29D8"/>
    <w:rsid w:val="002E5D2F"/>
    <w:rsid w:val="002E76A8"/>
    <w:rsid w:val="002F36E6"/>
    <w:rsid w:val="00302A2E"/>
    <w:rsid w:val="003061BA"/>
    <w:rsid w:val="00306E31"/>
    <w:rsid w:val="00312049"/>
    <w:rsid w:val="00315619"/>
    <w:rsid w:val="00315B9B"/>
    <w:rsid w:val="003201D0"/>
    <w:rsid w:val="003220C7"/>
    <w:rsid w:val="00322F86"/>
    <w:rsid w:val="00332BA4"/>
    <w:rsid w:val="00332FBD"/>
    <w:rsid w:val="0034217A"/>
    <w:rsid w:val="00344D0B"/>
    <w:rsid w:val="00345BA3"/>
    <w:rsid w:val="00346EAF"/>
    <w:rsid w:val="00353CDF"/>
    <w:rsid w:val="0035716E"/>
    <w:rsid w:val="0036446A"/>
    <w:rsid w:val="00364F0F"/>
    <w:rsid w:val="003700EE"/>
    <w:rsid w:val="0037676A"/>
    <w:rsid w:val="00393A34"/>
    <w:rsid w:val="00394793"/>
    <w:rsid w:val="003A1B0A"/>
    <w:rsid w:val="003A3EBE"/>
    <w:rsid w:val="003A5BA6"/>
    <w:rsid w:val="003B41A9"/>
    <w:rsid w:val="003B5F41"/>
    <w:rsid w:val="003B7FAF"/>
    <w:rsid w:val="003C080C"/>
    <w:rsid w:val="003C1846"/>
    <w:rsid w:val="003C2631"/>
    <w:rsid w:val="003C3F69"/>
    <w:rsid w:val="003D2026"/>
    <w:rsid w:val="003D6A47"/>
    <w:rsid w:val="003E0F9B"/>
    <w:rsid w:val="003E2281"/>
    <w:rsid w:val="003E27DD"/>
    <w:rsid w:val="003E5792"/>
    <w:rsid w:val="003E6307"/>
    <w:rsid w:val="003F21A4"/>
    <w:rsid w:val="003F5C75"/>
    <w:rsid w:val="00410231"/>
    <w:rsid w:val="00410F5E"/>
    <w:rsid w:val="004122AB"/>
    <w:rsid w:val="004152C7"/>
    <w:rsid w:val="00415AE3"/>
    <w:rsid w:val="0043358E"/>
    <w:rsid w:val="004419B9"/>
    <w:rsid w:val="00441F19"/>
    <w:rsid w:val="0044329F"/>
    <w:rsid w:val="004434FE"/>
    <w:rsid w:val="00444A72"/>
    <w:rsid w:val="004456F3"/>
    <w:rsid w:val="00455F82"/>
    <w:rsid w:val="00461638"/>
    <w:rsid w:val="00465B74"/>
    <w:rsid w:val="00466301"/>
    <w:rsid w:val="00466FDE"/>
    <w:rsid w:val="00473A59"/>
    <w:rsid w:val="004762A1"/>
    <w:rsid w:val="00476FBA"/>
    <w:rsid w:val="00484F38"/>
    <w:rsid w:val="0049728C"/>
    <w:rsid w:val="00497B51"/>
    <w:rsid w:val="004A024F"/>
    <w:rsid w:val="004A58A8"/>
    <w:rsid w:val="004B4932"/>
    <w:rsid w:val="004B6106"/>
    <w:rsid w:val="004C7FAE"/>
    <w:rsid w:val="004F38B7"/>
    <w:rsid w:val="004F527B"/>
    <w:rsid w:val="00504200"/>
    <w:rsid w:val="00505755"/>
    <w:rsid w:val="005123BF"/>
    <w:rsid w:val="00520B90"/>
    <w:rsid w:val="00533E07"/>
    <w:rsid w:val="0053643D"/>
    <w:rsid w:val="00544508"/>
    <w:rsid w:val="00557F44"/>
    <w:rsid w:val="00561AF0"/>
    <w:rsid w:val="00563F4B"/>
    <w:rsid w:val="00566EE8"/>
    <w:rsid w:val="00567CCE"/>
    <w:rsid w:val="00575381"/>
    <w:rsid w:val="00585030"/>
    <w:rsid w:val="00591736"/>
    <w:rsid w:val="005A0C8C"/>
    <w:rsid w:val="005A3B9B"/>
    <w:rsid w:val="005A6323"/>
    <w:rsid w:val="005A7EFD"/>
    <w:rsid w:val="005B0896"/>
    <w:rsid w:val="005B29C1"/>
    <w:rsid w:val="005B490E"/>
    <w:rsid w:val="005C4ED4"/>
    <w:rsid w:val="005D3C7E"/>
    <w:rsid w:val="005D6304"/>
    <w:rsid w:val="005D6C0F"/>
    <w:rsid w:val="005E2BC2"/>
    <w:rsid w:val="005E7B91"/>
    <w:rsid w:val="005F4561"/>
    <w:rsid w:val="00612512"/>
    <w:rsid w:val="0061347D"/>
    <w:rsid w:val="006173FE"/>
    <w:rsid w:val="0062300B"/>
    <w:rsid w:val="0062429A"/>
    <w:rsid w:val="00624733"/>
    <w:rsid w:val="00624C07"/>
    <w:rsid w:val="006250FF"/>
    <w:rsid w:val="00626241"/>
    <w:rsid w:val="006301E5"/>
    <w:rsid w:val="006303FB"/>
    <w:rsid w:val="00631A38"/>
    <w:rsid w:val="0063621E"/>
    <w:rsid w:val="00650A74"/>
    <w:rsid w:val="006562E3"/>
    <w:rsid w:val="006567D2"/>
    <w:rsid w:val="006640D4"/>
    <w:rsid w:val="00675A16"/>
    <w:rsid w:val="00675D89"/>
    <w:rsid w:val="00681C47"/>
    <w:rsid w:val="0068440E"/>
    <w:rsid w:val="00694BD3"/>
    <w:rsid w:val="006A4BC3"/>
    <w:rsid w:val="006A6B65"/>
    <w:rsid w:val="006B0A4F"/>
    <w:rsid w:val="006B134F"/>
    <w:rsid w:val="006B3B15"/>
    <w:rsid w:val="006B6D95"/>
    <w:rsid w:val="006C7C85"/>
    <w:rsid w:val="006D126C"/>
    <w:rsid w:val="006E0E46"/>
    <w:rsid w:val="006E35BE"/>
    <w:rsid w:val="006F0A87"/>
    <w:rsid w:val="00700883"/>
    <w:rsid w:val="0070417E"/>
    <w:rsid w:val="007068D3"/>
    <w:rsid w:val="007115CE"/>
    <w:rsid w:val="007132CB"/>
    <w:rsid w:val="00715E72"/>
    <w:rsid w:val="0071641B"/>
    <w:rsid w:val="00724813"/>
    <w:rsid w:val="007276CB"/>
    <w:rsid w:val="00731BD6"/>
    <w:rsid w:val="007326AD"/>
    <w:rsid w:val="007344C3"/>
    <w:rsid w:val="00737E1F"/>
    <w:rsid w:val="00741B7A"/>
    <w:rsid w:val="0075660C"/>
    <w:rsid w:val="00760DCD"/>
    <w:rsid w:val="00764C55"/>
    <w:rsid w:val="007656BE"/>
    <w:rsid w:val="00767081"/>
    <w:rsid w:val="00773A0D"/>
    <w:rsid w:val="007753D7"/>
    <w:rsid w:val="0078044A"/>
    <w:rsid w:val="00785FEF"/>
    <w:rsid w:val="00794FCB"/>
    <w:rsid w:val="007A2FC2"/>
    <w:rsid w:val="007B0FB5"/>
    <w:rsid w:val="007B1E21"/>
    <w:rsid w:val="007B3BD1"/>
    <w:rsid w:val="007B7496"/>
    <w:rsid w:val="007B7DD5"/>
    <w:rsid w:val="007C2B6F"/>
    <w:rsid w:val="007C72E4"/>
    <w:rsid w:val="007C776B"/>
    <w:rsid w:val="007D3627"/>
    <w:rsid w:val="007D5772"/>
    <w:rsid w:val="007E3F76"/>
    <w:rsid w:val="007E3F83"/>
    <w:rsid w:val="007E6A87"/>
    <w:rsid w:val="007E6D16"/>
    <w:rsid w:val="007F1E9F"/>
    <w:rsid w:val="008003CB"/>
    <w:rsid w:val="008005EE"/>
    <w:rsid w:val="00800C36"/>
    <w:rsid w:val="00803458"/>
    <w:rsid w:val="008040C7"/>
    <w:rsid w:val="00814DAF"/>
    <w:rsid w:val="008215B5"/>
    <w:rsid w:val="008243CA"/>
    <w:rsid w:val="00824691"/>
    <w:rsid w:val="008258DD"/>
    <w:rsid w:val="00826C10"/>
    <w:rsid w:val="008339B4"/>
    <w:rsid w:val="008401F4"/>
    <w:rsid w:val="008406CA"/>
    <w:rsid w:val="00843C71"/>
    <w:rsid w:val="00844A3B"/>
    <w:rsid w:val="0084642C"/>
    <w:rsid w:val="00850076"/>
    <w:rsid w:val="00862499"/>
    <w:rsid w:val="00862F47"/>
    <w:rsid w:val="0087358E"/>
    <w:rsid w:val="00874D6D"/>
    <w:rsid w:val="00885069"/>
    <w:rsid w:val="00890389"/>
    <w:rsid w:val="00892DD5"/>
    <w:rsid w:val="008A2FD9"/>
    <w:rsid w:val="008A7A1D"/>
    <w:rsid w:val="008B18B5"/>
    <w:rsid w:val="008B1997"/>
    <w:rsid w:val="008B36CB"/>
    <w:rsid w:val="008C078D"/>
    <w:rsid w:val="008C121F"/>
    <w:rsid w:val="008D70C2"/>
    <w:rsid w:val="008D735D"/>
    <w:rsid w:val="008D7784"/>
    <w:rsid w:val="008E3A7F"/>
    <w:rsid w:val="008E5D8B"/>
    <w:rsid w:val="008F06E8"/>
    <w:rsid w:val="008F281D"/>
    <w:rsid w:val="0090033B"/>
    <w:rsid w:val="00902140"/>
    <w:rsid w:val="009023B4"/>
    <w:rsid w:val="00903CE6"/>
    <w:rsid w:val="00904695"/>
    <w:rsid w:val="00924A3B"/>
    <w:rsid w:val="009260A5"/>
    <w:rsid w:val="00926D26"/>
    <w:rsid w:val="00937CE9"/>
    <w:rsid w:val="00944419"/>
    <w:rsid w:val="0095579B"/>
    <w:rsid w:val="00956128"/>
    <w:rsid w:val="00960426"/>
    <w:rsid w:val="00960CB7"/>
    <w:rsid w:val="00963161"/>
    <w:rsid w:val="00964518"/>
    <w:rsid w:val="0097307B"/>
    <w:rsid w:val="009810E8"/>
    <w:rsid w:val="00982C38"/>
    <w:rsid w:val="0098736E"/>
    <w:rsid w:val="009941BD"/>
    <w:rsid w:val="009A1862"/>
    <w:rsid w:val="009A52D5"/>
    <w:rsid w:val="009B1521"/>
    <w:rsid w:val="009B2AFC"/>
    <w:rsid w:val="009B3CDC"/>
    <w:rsid w:val="009B60C7"/>
    <w:rsid w:val="009F3B54"/>
    <w:rsid w:val="00A0164D"/>
    <w:rsid w:val="00A01FEA"/>
    <w:rsid w:val="00A054F8"/>
    <w:rsid w:val="00A10D73"/>
    <w:rsid w:val="00A21F23"/>
    <w:rsid w:val="00A23F2A"/>
    <w:rsid w:val="00A371E3"/>
    <w:rsid w:val="00A457FE"/>
    <w:rsid w:val="00A514D4"/>
    <w:rsid w:val="00A5164D"/>
    <w:rsid w:val="00A518CF"/>
    <w:rsid w:val="00A54ECC"/>
    <w:rsid w:val="00A55611"/>
    <w:rsid w:val="00A61A16"/>
    <w:rsid w:val="00A701F7"/>
    <w:rsid w:val="00A75D6C"/>
    <w:rsid w:val="00A8656D"/>
    <w:rsid w:val="00A86B7C"/>
    <w:rsid w:val="00AB27E0"/>
    <w:rsid w:val="00AB72F1"/>
    <w:rsid w:val="00AC02D1"/>
    <w:rsid w:val="00AD2E5A"/>
    <w:rsid w:val="00AD5E49"/>
    <w:rsid w:val="00AF1F58"/>
    <w:rsid w:val="00B01E79"/>
    <w:rsid w:val="00B033C6"/>
    <w:rsid w:val="00B04FEF"/>
    <w:rsid w:val="00B15D3D"/>
    <w:rsid w:val="00B169A6"/>
    <w:rsid w:val="00B20FC4"/>
    <w:rsid w:val="00B23ED1"/>
    <w:rsid w:val="00B27AC9"/>
    <w:rsid w:val="00B319CB"/>
    <w:rsid w:val="00B3322E"/>
    <w:rsid w:val="00B414FF"/>
    <w:rsid w:val="00B429EE"/>
    <w:rsid w:val="00B469E1"/>
    <w:rsid w:val="00B5491C"/>
    <w:rsid w:val="00B5647B"/>
    <w:rsid w:val="00B60407"/>
    <w:rsid w:val="00B62913"/>
    <w:rsid w:val="00B7031F"/>
    <w:rsid w:val="00B70654"/>
    <w:rsid w:val="00B72548"/>
    <w:rsid w:val="00B73C4C"/>
    <w:rsid w:val="00B77954"/>
    <w:rsid w:val="00B823D0"/>
    <w:rsid w:val="00B82B8A"/>
    <w:rsid w:val="00B85B15"/>
    <w:rsid w:val="00BA1510"/>
    <w:rsid w:val="00BB106A"/>
    <w:rsid w:val="00BB30E5"/>
    <w:rsid w:val="00BB3279"/>
    <w:rsid w:val="00BB3582"/>
    <w:rsid w:val="00BC7A01"/>
    <w:rsid w:val="00BD1439"/>
    <w:rsid w:val="00BD4509"/>
    <w:rsid w:val="00BE1192"/>
    <w:rsid w:val="00BE2B32"/>
    <w:rsid w:val="00BE30AB"/>
    <w:rsid w:val="00BE3112"/>
    <w:rsid w:val="00BE3E52"/>
    <w:rsid w:val="00BE7714"/>
    <w:rsid w:val="00BF3623"/>
    <w:rsid w:val="00C00F9D"/>
    <w:rsid w:val="00C0191C"/>
    <w:rsid w:val="00C045F1"/>
    <w:rsid w:val="00C0799C"/>
    <w:rsid w:val="00C07B35"/>
    <w:rsid w:val="00C10899"/>
    <w:rsid w:val="00C119E7"/>
    <w:rsid w:val="00C2052A"/>
    <w:rsid w:val="00C25254"/>
    <w:rsid w:val="00C273C5"/>
    <w:rsid w:val="00C3317E"/>
    <w:rsid w:val="00C34D15"/>
    <w:rsid w:val="00C36A80"/>
    <w:rsid w:val="00C40384"/>
    <w:rsid w:val="00C42DA3"/>
    <w:rsid w:val="00C46C69"/>
    <w:rsid w:val="00C52FE7"/>
    <w:rsid w:val="00C558FD"/>
    <w:rsid w:val="00C71AEF"/>
    <w:rsid w:val="00C767F1"/>
    <w:rsid w:val="00C778A0"/>
    <w:rsid w:val="00C80AFF"/>
    <w:rsid w:val="00C85384"/>
    <w:rsid w:val="00C853F5"/>
    <w:rsid w:val="00C91B43"/>
    <w:rsid w:val="00C9254D"/>
    <w:rsid w:val="00CA0A48"/>
    <w:rsid w:val="00CC4245"/>
    <w:rsid w:val="00CC75EA"/>
    <w:rsid w:val="00CD2F1B"/>
    <w:rsid w:val="00CD4299"/>
    <w:rsid w:val="00CF5E35"/>
    <w:rsid w:val="00D21552"/>
    <w:rsid w:val="00D418E8"/>
    <w:rsid w:val="00D60620"/>
    <w:rsid w:val="00D61ACD"/>
    <w:rsid w:val="00D64EBC"/>
    <w:rsid w:val="00D665F7"/>
    <w:rsid w:val="00D80D46"/>
    <w:rsid w:val="00D91CEA"/>
    <w:rsid w:val="00D9789C"/>
    <w:rsid w:val="00DA0026"/>
    <w:rsid w:val="00DA67B5"/>
    <w:rsid w:val="00DA7711"/>
    <w:rsid w:val="00DB060B"/>
    <w:rsid w:val="00DB3A59"/>
    <w:rsid w:val="00DB3B22"/>
    <w:rsid w:val="00DB577F"/>
    <w:rsid w:val="00DC1F0E"/>
    <w:rsid w:val="00DD059C"/>
    <w:rsid w:val="00DD31CE"/>
    <w:rsid w:val="00DD33F0"/>
    <w:rsid w:val="00DD39A1"/>
    <w:rsid w:val="00DF5C41"/>
    <w:rsid w:val="00DF5FF6"/>
    <w:rsid w:val="00E00474"/>
    <w:rsid w:val="00E01D5E"/>
    <w:rsid w:val="00E0307E"/>
    <w:rsid w:val="00E03577"/>
    <w:rsid w:val="00E1211C"/>
    <w:rsid w:val="00E203D8"/>
    <w:rsid w:val="00E304F5"/>
    <w:rsid w:val="00E3185C"/>
    <w:rsid w:val="00E31A2F"/>
    <w:rsid w:val="00E51C87"/>
    <w:rsid w:val="00E523C9"/>
    <w:rsid w:val="00E5721C"/>
    <w:rsid w:val="00E6200F"/>
    <w:rsid w:val="00E62AE2"/>
    <w:rsid w:val="00E62C83"/>
    <w:rsid w:val="00E708D4"/>
    <w:rsid w:val="00E72480"/>
    <w:rsid w:val="00E75F4D"/>
    <w:rsid w:val="00E771D1"/>
    <w:rsid w:val="00E774E7"/>
    <w:rsid w:val="00E91B80"/>
    <w:rsid w:val="00E9744B"/>
    <w:rsid w:val="00EB5CDC"/>
    <w:rsid w:val="00EB71CB"/>
    <w:rsid w:val="00EC19C5"/>
    <w:rsid w:val="00EC6219"/>
    <w:rsid w:val="00ED22DA"/>
    <w:rsid w:val="00ED248E"/>
    <w:rsid w:val="00ED3D17"/>
    <w:rsid w:val="00EE4F38"/>
    <w:rsid w:val="00EF300E"/>
    <w:rsid w:val="00EF4A31"/>
    <w:rsid w:val="00F03393"/>
    <w:rsid w:val="00F0524E"/>
    <w:rsid w:val="00F10187"/>
    <w:rsid w:val="00F14048"/>
    <w:rsid w:val="00F143F7"/>
    <w:rsid w:val="00F15BB2"/>
    <w:rsid w:val="00F25014"/>
    <w:rsid w:val="00F25B99"/>
    <w:rsid w:val="00F25C71"/>
    <w:rsid w:val="00F27615"/>
    <w:rsid w:val="00F30278"/>
    <w:rsid w:val="00F31C0D"/>
    <w:rsid w:val="00F340AF"/>
    <w:rsid w:val="00F37647"/>
    <w:rsid w:val="00F434A7"/>
    <w:rsid w:val="00F43C28"/>
    <w:rsid w:val="00F523B1"/>
    <w:rsid w:val="00F53B33"/>
    <w:rsid w:val="00F54048"/>
    <w:rsid w:val="00F56FD9"/>
    <w:rsid w:val="00F60E47"/>
    <w:rsid w:val="00F63486"/>
    <w:rsid w:val="00F73148"/>
    <w:rsid w:val="00F855B9"/>
    <w:rsid w:val="00F87224"/>
    <w:rsid w:val="00F94E8E"/>
    <w:rsid w:val="00F96269"/>
    <w:rsid w:val="00F96D08"/>
    <w:rsid w:val="00F975AF"/>
    <w:rsid w:val="00FA3EFD"/>
    <w:rsid w:val="00FA4997"/>
    <w:rsid w:val="00FA51B4"/>
    <w:rsid w:val="00FA767A"/>
    <w:rsid w:val="00FB08B8"/>
    <w:rsid w:val="00FB45C8"/>
    <w:rsid w:val="00FB4F63"/>
    <w:rsid w:val="00FB6C3F"/>
    <w:rsid w:val="00FC2452"/>
    <w:rsid w:val="00FC2BB9"/>
    <w:rsid w:val="00FC4FCD"/>
    <w:rsid w:val="00FD1E60"/>
    <w:rsid w:val="00FD38EF"/>
    <w:rsid w:val="00FD4876"/>
    <w:rsid w:val="00FD531A"/>
    <w:rsid w:val="00FE044E"/>
    <w:rsid w:val="00FF1EB8"/>
    <w:rsid w:val="00FF2350"/>
    <w:rsid w:val="00FF7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1768"/>
  <w15:chartTrackingRefBased/>
  <w15:docId w15:val="{D1336285-057F-4B7D-AC37-34047051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701F7"/>
    <w:pPr>
      <w:spacing w:before="240" w:after="240" w:line="240" w:lineRule="auto"/>
    </w:pPr>
    <w:rPr>
      <w:rFonts w:ascii="Palatino Linotype" w:eastAsia="Palatino Linotype" w:hAnsi="Palatino Linotype" w:cs="Palatino Linotype"/>
      <w:color w:val="0D0409"/>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 BOLD *"/>
    <w:qFormat/>
    <w:rsid w:val="00A701F7"/>
    <w:rPr>
      <w:lang w:val="pt-BR"/>
    </w:rPr>
  </w:style>
  <w:style w:type="character" w:customStyle="1" w:styleId="sembold">
    <w:name w:val="sem bold"/>
    <w:basedOn w:val="BOLD"/>
    <w:qFormat/>
    <w:rsid w:val="00A701F7"/>
    <w:rPr>
      <w:lang w:val="pt-BR"/>
    </w:rPr>
  </w:style>
  <w:style w:type="character" w:styleId="Hyperlink">
    <w:name w:val="Hyperlink"/>
    <w:basedOn w:val="Fontepargpadro"/>
    <w:uiPriority w:val="99"/>
    <w:semiHidden/>
    <w:rsid w:val="00A701F7"/>
    <w:rPr>
      <w:color w:val="0563C1" w:themeColor="hyperlink"/>
      <w:u w:val="single"/>
    </w:rPr>
  </w:style>
  <w:style w:type="character" w:styleId="MenoPendente">
    <w:name w:val="Unresolved Mention"/>
    <w:basedOn w:val="Fontepargpadro"/>
    <w:uiPriority w:val="99"/>
    <w:semiHidden/>
    <w:unhideWhenUsed/>
    <w:rsid w:val="00A701F7"/>
    <w:rPr>
      <w:color w:val="605E5C"/>
      <w:shd w:val="clear" w:color="auto" w:fill="E1DFDD"/>
    </w:rPr>
  </w:style>
  <w:style w:type="paragraph" w:styleId="Reviso">
    <w:name w:val="Revision"/>
    <w:hidden/>
    <w:uiPriority w:val="99"/>
    <w:semiHidden/>
    <w:rsid w:val="007276CB"/>
    <w:pPr>
      <w:spacing w:after="0" w:line="240" w:lineRule="auto"/>
    </w:pPr>
  </w:style>
  <w:style w:type="paragraph" w:styleId="Cabealho">
    <w:name w:val="header"/>
    <w:aliases w:val="Cabeçalho1,Header Char,Tulo1,encabezado,Guideline,Appendix,Heade,Header@,Heading 1a,Project Name,hd,ulo1"/>
    <w:basedOn w:val="Normal"/>
    <w:link w:val="CabealhoChar"/>
    <w:unhideWhenUsed/>
    <w:rsid w:val="001A45A8"/>
    <w:pPr>
      <w:tabs>
        <w:tab w:val="center" w:pos="4252"/>
        <w:tab w:val="right" w:pos="8504"/>
      </w:tabs>
      <w:spacing w:after="0" w:line="240" w:lineRule="auto"/>
    </w:pPr>
  </w:style>
  <w:style w:type="character" w:customStyle="1" w:styleId="CabealhoChar">
    <w:name w:val="Cabeçalho Char"/>
    <w:aliases w:val="Cabeçalho1 Char,Header Char Char,Tulo1 Char,encabezado Char,Guideline Char,Appendix Char,Heade Char,Header@ Char,Heading 1a Char,Project Name Char,hd Char,ulo1 Char"/>
    <w:basedOn w:val="Fontepargpadro"/>
    <w:link w:val="Cabealho"/>
    <w:rsid w:val="001A45A8"/>
  </w:style>
  <w:style w:type="paragraph" w:styleId="Rodap">
    <w:name w:val="footer"/>
    <w:basedOn w:val="Normal"/>
    <w:link w:val="RodapChar"/>
    <w:uiPriority w:val="99"/>
    <w:unhideWhenUsed/>
    <w:rsid w:val="001A45A8"/>
    <w:pPr>
      <w:tabs>
        <w:tab w:val="center" w:pos="4252"/>
        <w:tab w:val="right" w:pos="8504"/>
      </w:tabs>
      <w:spacing w:after="0" w:line="240" w:lineRule="auto"/>
    </w:pPr>
  </w:style>
  <w:style w:type="character" w:customStyle="1" w:styleId="RodapChar">
    <w:name w:val="Rodapé Char"/>
    <w:basedOn w:val="Fontepargpadro"/>
    <w:link w:val="Rodap"/>
    <w:uiPriority w:val="99"/>
    <w:rsid w:val="001A45A8"/>
  </w:style>
  <w:style w:type="paragraph" w:customStyle="1" w:styleId="TITULOITENS">
    <w:name w:val="TITULO ITENS"/>
    <w:qFormat/>
    <w:rsid w:val="00675D89"/>
    <w:pPr>
      <w:numPr>
        <w:numId w:val="1"/>
      </w:numPr>
      <w:pBdr>
        <w:bottom w:val="single" w:sz="4" w:space="0" w:color="auto"/>
      </w:pBdr>
      <w:spacing w:before="120" w:after="180" w:line="288" w:lineRule="auto"/>
      <w:jc w:val="both"/>
    </w:pPr>
    <w:rPr>
      <w:rFonts w:ascii="ITC Avant Garde Pro Md" w:eastAsia="Times New Roman" w:hAnsi="ITC Avant Garde Pro Md" w:cs="ITC Avant Garde Pro Md"/>
      <w:b/>
      <w:color w:val="4F4F4F"/>
      <w:sz w:val="24"/>
      <w:szCs w:val="20"/>
      <w:lang w:eastAsia="pt-BR"/>
    </w:rPr>
  </w:style>
  <w:style w:type="paragraph" w:styleId="PargrafodaLista">
    <w:name w:val="List Paragraph"/>
    <w:basedOn w:val="Normal"/>
    <w:uiPriority w:val="34"/>
    <w:qFormat/>
    <w:rsid w:val="00A0164D"/>
    <w:pPr>
      <w:ind w:left="720"/>
      <w:contextualSpacing/>
    </w:pPr>
  </w:style>
  <w:style w:type="character" w:customStyle="1" w:styleId="normaltextrun">
    <w:name w:val="normaltextrun"/>
    <w:basedOn w:val="Fontepargpadro"/>
    <w:rsid w:val="006B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970">
      <w:bodyDiv w:val="1"/>
      <w:marLeft w:val="0"/>
      <w:marRight w:val="0"/>
      <w:marTop w:val="0"/>
      <w:marBottom w:val="0"/>
      <w:divBdr>
        <w:top w:val="none" w:sz="0" w:space="0" w:color="auto"/>
        <w:left w:val="none" w:sz="0" w:space="0" w:color="auto"/>
        <w:bottom w:val="none" w:sz="0" w:space="0" w:color="auto"/>
        <w:right w:val="none" w:sz="0" w:space="0" w:color="auto"/>
      </w:divBdr>
      <w:divsChild>
        <w:div w:id="1558198537">
          <w:marLeft w:val="0"/>
          <w:marRight w:val="0"/>
          <w:marTop w:val="0"/>
          <w:marBottom w:val="0"/>
          <w:divBdr>
            <w:top w:val="none" w:sz="0" w:space="0" w:color="auto"/>
            <w:left w:val="none" w:sz="0" w:space="0" w:color="auto"/>
            <w:bottom w:val="none" w:sz="0" w:space="0" w:color="auto"/>
            <w:right w:val="none" w:sz="0" w:space="0" w:color="auto"/>
          </w:divBdr>
        </w:div>
        <w:div w:id="405152421">
          <w:marLeft w:val="0"/>
          <w:marRight w:val="0"/>
          <w:marTop w:val="0"/>
          <w:marBottom w:val="0"/>
          <w:divBdr>
            <w:top w:val="none" w:sz="0" w:space="0" w:color="auto"/>
            <w:left w:val="none" w:sz="0" w:space="0" w:color="auto"/>
            <w:bottom w:val="none" w:sz="0" w:space="0" w:color="auto"/>
            <w:right w:val="none" w:sz="0" w:space="0" w:color="auto"/>
          </w:divBdr>
        </w:div>
        <w:div w:id="384916771">
          <w:marLeft w:val="0"/>
          <w:marRight w:val="0"/>
          <w:marTop w:val="0"/>
          <w:marBottom w:val="0"/>
          <w:divBdr>
            <w:top w:val="none" w:sz="0" w:space="0" w:color="auto"/>
            <w:left w:val="none" w:sz="0" w:space="0" w:color="auto"/>
            <w:bottom w:val="none" w:sz="0" w:space="0" w:color="auto"/>
            <w:right w:val="none" w:sz="0" w:space="0" w:color="auto"/>
          </w:divBdr>
        </w:div>
        <w:div w:id="716662952">
          <w:marLeft w:val="0"/>
          <w:marRight w:val="0"/>
          <w:marTop w:val="0"/>
          <w:marBottom w:val="0"/>
          <w:divBdr>
            <w:top w:val="none" w:sz="0" w:space="0" w:color="auto"/>
            <w:left w:val="none" w:sz="0" w:space="0" w:color="auto"/>
            <w:bottom w:val="none" w:sz="0" w:space="0" w:color="auto"/>
            <w:right w:val="none" w:sz="0" w:space="0" w:color="auto"/>
          </w:divBdr>
        </w:div>
        <w:div w:id="229342568">
          <w:marLeft w:val="0"/>
          <w:marRight w:val="0"/>
          <w:marTop w:val="0"/>
          <w:marBottom w:val="0"/>
          <w:divBdr>
            <w:top w:val="none" w:sz="0" w:space="0" w:color="auto"/>
            <w:left w:val="none" w:sz="0" w:space="0" w:color="auto"/>
            <w:bottom w:val="none" w:sz="0" w:space="0" w:color="auto"/>
            <w:right w:val="none" w:sz="0" w:space="0" w:color="auto"/>
          </w:divBdr>
        </w:div>
        <w:div w:id="907960744">
          <w:marLeft w:val="0"/>
          <w:marRight w:val="0"/>
          <w:marTop w:val="0"/>
          <w:marBottom w:val="0"/>
          <w:divBdr>
            <w:top w:val="none" w:sz="0" w:space="0" w:color="auto"/>
            <w:left w:val="none" w:sz="0" w:space="0" w:color="auto"/>
            <w:bottom w:val="none" w:sz="0" w:space="0" w:color="auto"/>
            <w:right w:val="none" w:sz="0" w:space="0" w:color="auto"/>
          </w:divBdr>
        </w:div>
        <w:div w:id="361906264">
          <w:marLeft w:val="0"/>
          <w:marRight w:val="0"/>
          <w:marTop w:val="0"/>
          <w:marBottom w:val="0"/>
          <w:divBdr>
            <w:top w:val="none" w:sz="0" w:space="0" w:color="auto"/>
            <w:left w:val="none" w:sz="0" w:space="0" w:color="auto"/>
            <w:bottom w:val="none" w:sz="0" w:space="0" w:color="auto"/>
            <w:right w:val="none" w:sz="0" w:space="0" w:color="auto"/>
          </w:divBdr>
        </w:div>
      </w:divsChild>
    </w:div>
    <w:div w:id="578977687">
      <w:bodyDiv w:val="1"/>
      <w:marLeft w:val="0"/>
      <w:marRight w:val="0"/>
      <w:marTop w:val="0"/>
      <w:marBottom w:val="0"/>
      <w:divBdr>
        <w:top w:val="none" w:sz="0" w:space="0" w:color="auto"/>
        <w:left w:val="none" w:sz="0" w:space="0" w:color="auto"/>
        <w:bottom w:val="none" w:sz="0" w:space="0" w:color="auto"/>
        <w:right w:val="none" w:sz="0" w:space="0" w:color="auto"/>
      </w:divBdr>
    </w:div>
    <w:div w:id="787315878">
      <w:bodyDiv w:val="1"/>
      <w:marLeft w:val="0"/>
      <w:marRight w:val="0"/>
      <w:marTop w:val="0"/>
      <w:marBottom w:val="0"/>
      <w:divBdr>
        <w:top w:val="none" w:sz="0" w:space="0" w:color="auto"/>
        <w:left w:val="none" w:sz="0" w:space="0" w:color="auto"/>
        <w:bottom w:val="none" w:sz="0" w:space="0" w:color="auto"/>
        <w:right w:val="none" w:sz="0" w:space="0" w:color="auto"/>
      </w:divBdr>
      <w:divsChild>
        <w:div w:id="598103554">
          <w:marLeft w:val="0"/>
          <w:marRight w:val="0"/>
          <w:marTop w:val="0"/>
          <w:marBottom w:val="0"/>
          <w:divBdr>
            <w:top w:val="none" w:sz="0" w:space="0" w:color="auto"/>
            <w:left w:val="none" w:sz="0" w:space="0" w:color="auto"/>
            <w:bottom w:val="none" w:sz="0" w:space="0" w:color="auto"/>
            <w:right w:val="none" w:sz="0" w:space="0" w:color="auto"/>
          </w:divBdr>
        </w:div>
        <w:div w:id="786969535">
          <w:marLeft w:val="0"/>
          <w:marRight w:val="0"/>
          <w:marTop w:val="0"/>
          <w:marBottom w:val="0"/>
          <w:divBdr>
            <w:top w:val="none" w:sz="0" w:space="0" w:color="auto"/>
            <w:left w:val="none" w:sz="0" w:space="0" w:color="auto"/>
            <w:bottom w:val="none" w:sz="0" w:space="0" w:color="auto"/>
            <w:right w:val="none" w:sz="0" w:space="0" w:color="auto"/>
          </w:divBdr>
        </w:div>
        <w:div w:id="1077551591">
          <w:marLeft w:val="0"/>
          <w:marRight w:val="0"/>
          <w:marTop w:val="0"/>
          <w:marBottom w:val="0"/>
          <w:divBdr>
            <w:top w:val="none" w:sz="0" w:space="0" w:color="auto"/>
            <w:left w:val="none" w:sz="0" w:space="0" w:color="auto"/>
            <w:bottom w:val="none" w:sz="0" w:space="0" w:color="auto"/>
            <w:right w:val="none" w:sz="0" w:space="0" w:color="auto"/>
          </w:divBdr>
        </w:div>
      </w:divsChild>
    </w:div>
    <w:div w:id="973826093">
      <w:bodyDiv w:val="1"/>
      <w:marLeft w:val="0"/>
      <w:marRight w:val="0"/>
      <w:marTop w:val="0"/>
      <w:marBottom w:val="0"/>
      <w:divBdr>
        <w:top w:val="none" w:sz="0" w:space="0" w:color="auto"/>
        <w:left w:val="none" w:sz="0" w:space="0" w:color="auto"/>
        <w:bottom w:val="none" w:sz="0" w:space="0" w:color="auto"/>
        <w:right w:val="none" w:sz="0" w:space="0" w:color="auto"/>
      </w:divBdr>
    </w:div>
    <w:div w:id="1012222572">
      <w:bodyDiv w:val="1"/>
      <w:marLeft w:val="0"/>
      <w:marRight w:val="0"/>
      <w:marTop w:val="0"/>
      <w:marBottom w:val="0"/>
      <w:divBdr>
        <w:top w:val="none" w:sz="0" w:space="0" w:color="auto"/>
        <w:left w:val="none" w:sz="0" w:space="0" w:color="auto"/>
        <w:bottom w:val="none" w:sz="0" w:space="0" w:color="auto"/>
        <w:right w:val="none" w:sz="0" w:space="0" w:color="auto"/>
      </w:divBdr>
    </w:div>
    <w:div w:id="1139566197">
      <w:bodyDiv w:val="1"/>
      <w:marLeft w:val="0"/>
      <w:marRight w:val="0"/>
      <w:marTop w:val="0"/>
      <w:marBottom w:val="0"/>
      <w:divBdr>
        <w:top w:val="none" w:sz="0" w:space="0" w:color="auto"/>
        <w:left w:val="none" w:sz="0" w:space="0" w:color="auto"/>
        <w:bottom w:val="none" w:sz="0" w:space="0" w:color="auto"/>
        <w:right w:val="none" w:sz="0" w:space="0" w:color="auto"/>
      </w:divBdr>
      <w:divsChild>
        <w:div w:id="1160542537">
          <w:marLeft w:val="0"/>
          <w:marRight w:val="0"/>
          <w:marTop w:val="0"/>
          <w:marBottom w:val="0"/>
          <w:divBdr>
            <w:top w:val="none" w:sz="0" w:space="0" w:color="auto"/>
            <w:left w:val="none" w:sz="0" w:space="0" w:color="auto"/>
            <w:bottom w:val="none" w:sz="0" w:space="0" w:color="auto"/>
            <w:right w:val="none" w:sz="0" w:space="0" w:color="auto"/>
          </w:divBdr>
        </w:div>
        <w:div w:id="431441480">
          <w:marLeft w:val="0"/>
          <w:marRight w:val="0"/>
          <w:marTop w:val="0"/>
          <w:marBottom w:val="0"/>
          <w:divBdr>
            <w:top w:val="none" w:sz="0" w:space="0" w:color="auto"/>
            <w:left w:val="none" w:sz="0" w:space="0" w:color="auto"/>
            <w:bottom w:val="none" w:sz="0" w:space="0" w:color="auto"/>
            <w:right w:val="none" w:sz="0" w:space="0" w:color="auto"/>
          </w:divBdr>
        </w:div>
        <w:div w:id="1397822043">
          <w:marLeft w:val="0"/>
          <w:marRight w:val="0"/>
          <w:marTop w:val="0"/>
          <w:marBottom w:val="0"/>
          <w:divBdr>
            <w:top w:val="none" w:sz="0" w:space="0" w:color="auto"/>
            <w:left w:val="none" w:sz="0" w:space="0" w:color="auto"/>
            <w:bottom w:val="none" w:sz="0" w:space="0" w:color="auto"/>
            <w:right w:val="none" w:sz="0" w:space="0" w:color="auto"/>
          </w:divBdr>
        </w:div>
      </w:divsChild>
    </w:div>
    <w:div w:id="1185364310">
      <w:bodyDiv w:val="1"/>
      <w:marLeft w:val="0"/>
      <w:marRight w:val="0"/>
      <w:marTop w:val="0"/>
      <w:marBottom w:val="0"/>
      <w:divBdr>
        <w:top w:val="none" w:sz="0" w:space="0" w:color="auto"/>
        <w:left w:val="none" w:sz="0" w:space="0" w:color="auto"/>
        <w:bottom w:val="none" w:sz="0" w:space="0" w:color="auto"/>
        <w:right w:val="none" w:sz="0" w:space="0" w:color="auto"/>
      </w:divBdr>
    </w:div>
    <w:div w:id="1209489394">
      <w:bodyDiv w:val="1"/>
      <w:marLeft w:val="0"/>
      <w:marRight w:val="0"/>
      <w:marTop w:val="0"/>
      <w:marBottom w:val="0"/>
      <w:divBdr>
        <w:top w:val="none" w:sz="0" w:space="0" w:color="auto"/>
        <w:left w:val="none" w:sz="0" w:space="0" w:color="auto"/>
        <w:bottom w:val="none" w:sz="0" w:space="0" w:color="auto"/>
        <w:right w:val="none" w:sz="0" w:space="0" w:color="auto"/>
      </w:divBdr>
    </w:div>
    <w:div w:id="1423262255">
      <w:bodyDiv w:val="1"/>
      <w:marLeft w:val="0"/>
      <w:marRight w:val="0"/>
      <w:marTop w:val="0"/>
      <w:marBottom w:val="0"/>
      <w:divBdr>
        <w:top w:val="none" w:sz="0" w:space="0" w:color="auto"/>
        <w:left w:val="none" w:sz="0" w:space="0" w:color="auto"/>
        <w:bottom w:val="none" w:sz="0" w:space="0" w:color="auto"/>
        <w:right w:val="none" w:sz="0" w:space="0" w:color="auto"/>
      </w:divBdr>
    </w:div>
    <w:div w:id="1429277162">
      <w:bodyDiv w:val="1"/>
      <w:marLeft w:val="0"/>
      <w:marRight w:val="0"/>
      <w:marTop w:val="0"/>
      <w:marBottom w:val="0"/>
      <w:divBdr>
        <w:top w:val="none" w:sz="0" w:space="0" w:color="auto"/>
        <w:left w:val="none" w:sz="0" w:space="0" w:color="auto"/>
        <w:bottom w:val="none" w:sz="0" w:space="0" w:color="auto"/>
        <w:right w:val="none" w:sz="0" w:space="0" w:color="auto"/>
      </w:divBdr>
      <w:divsChild>
        <w:div w:id="30880241">
          <w:marLeft w:val="0"/>
          <w:marRight w:val="0"/>
          <w:marTop w:val="0"/>
          <w:marBottom w:val="0"/>
          <w:divBdr>
            <w:top w:val="none" w:sz="0" w:space="0" w:color="auto"/>
            <w:left w:val="none" w:sz="0" w:space="0" w:color="auto"/>
            <w:bottom w:val="none" w:sz="0" w:space="0" w:color="auto"/>
            <w:right w:val="none" w:sz="0" w:space="0" w:color="auto"/>
          </w:divBdr>
        </w:div>
        <w:div w:id="2011249621">
          <w:marLeft w:val="0"/>
          <w:marRight w:val="0"/>
          <w:marTop w:val="0"/>
          <w:marBottom w:val="0"/>
          <w:divBdr>
            <w:top w:val="none" w:sz="0" w:space="0" w:color="auto"/>
            <w:left w:val="none" w:sz="0" w:space="0" w:color="auto"/>
            <w:bottom w:val="none" w:sz="0" w:space="0" w:color="auto"/>
            <w:right w:val="none" w:sz="0" w:space="0" w:color="auto"/>
          </w:divBdr>
        </w:div>
        <w:div w:id="97917030">
          <w:marLeft w:val="0"/>
          <w:marRight w:val="0"/>
          <w:marTop w:val="0"/>
          <w:marBottom w:val="0"/>
          <w:divBdr>
            <w:top w:val="none" w:sz="0" w:space="0" w:color="auto"/>
            <w:left w:val="none" w:sz="0" w:space="0" w:color="auto"/>
            <w:bottom w:val="none" w:sz="0" w:space="0" w:color="auto"/>
            <w:right w:val="none" w:sz="0" w:space="0" w:color="auto"/>
          </w:divBdr>
        </w:div>
        <w:div w:id="2127001731">
          <w:marLeft w:val="0"/>
          <w:marRight w:val="0"/>
          <w:marTop w:val="0"/>
          <w:marBottom w:val="0"/>
          <w:divBdr>
            <w:top w:val="none" w:sz="0" w:space="0" w:color="auto"/>
            <w:left w:val="none" w:sz="0" w:space="0" w:color="auto"/>
            <w:bottom w:val="none" w:sz="0" w:space="0" w:color="auto"/>
            <w:right w:val="none" w:sz="0" w:space="0" w:color="auto"/>
          </w:divBdr>
        </w:div>
        <w:div w:id="1435318774">
          <w:marLeft w:val="0"/>
          <w:marRight w:val="0"/>
          <w:marTop w:val="0"/>
          <w:marBottom w:val="0"/>
          <w:divBdr>
            <w:top w:val="none" w:sz="0" w:space="0" w:color="auto"/>
            <w:left w:val="none" w:sz="0" w:space="0" w:color="auto"/>
            <w:bottom w:val="none" w:sz="0" w:space="0" w:color="auto"/>
            <w:right w:val="none" w:sz="0" w:space="0" w:color="auto"/>
          </w:divBdr>
        </w:div>
        <w:div w:id="546795093">
          <w:marLeft w:val="0"/>
          <w:marRight w:val="0"/>
          <w:marTop w:val="0"/>
          <w:marBottom w:val="0"/>
          <w:divBdr>
            <w:top w:val="none" w:sz="0" w:space="0" w:color="auto"/>
            <w:left w:val="none" w:sz="0" w:space="0" w:color="auto"/>
            <w:bottom w:val="none" w:sz="0" w:space="0" w:color="auto"/>
            <w:right w:val="none" w:sz="0" w:space="0" w:color="auto"/>
          </w:divBdr>
        </w:div>
        <w:div w:id="1679036106">
          <w:marLeft w:val="0"/>
          <w:marRight w:val="0"/>
          <w:marTop w:val="0"/>
          <w:marBottom w:val="0"/>
          <w:divBdr>
            <w:top w:val="none" w:sz="0" w:space="0" w:color="auto"/>
            <w:left w:val="none" w:sz="0" w:space="0" w:color="auto"/>
            <w:bottom w:val="none" w:sz="0" w:space="0" w:color="auto"/>
            <w:right w:val="none" w:sz="0" w:space="0" w:color="auto"/>
          </w:divBdr>
        </w:div>
      </w:divsChild>
    </w:div>
    <w:div w:id="211432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50FCB397F69D4EB00FCC721B64DEC0" ma:contentTypeVersion="16" ma:contentTypeDescription="Crie um novo documento." ma:contentTypeScope="" ma:versionID="e9f0847daf2ffe33f40ff5d5cc28da0d">
  <xsd:schema xmlns:xsd="http://www.w3.org/2001/XMLSchema" xmlns:xs="http://www.w3.org/2001/XMLSchema" xmlns:p="http://schemas.microsoft.com/office/2006/metadata/properties" xmlns:ns2="220d4576-3d9a-4d78-8032-40190aea7f83" xmlns:ns3="7cbc4dd1-6b71-430c-bf7a-ef0455ecc4c7" targetNamespace="http://schemas.microsoft.com/office/2006/metadata/properties" ma:root="true" ma:fieldsID="24c9d315f7a6addb0783d250ce5f6edc" ns2:_="" ns3:_="">
    <xsd:import namespace="220d4576-3d9a-4d78-8032-40190aea7f83"/>
    <xsd:import namespace="7cbc4dd1-6b71-430c-bf7a-ef0455ecc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4576-3d9a-4d78-8032-40190aea7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d0f44e2-8342-4626-b4df-063ed3885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c4dd1-6b71-430c-bf7a-ef0455ecc4c7"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f75e23a2-4a5a-4f9a-a7e4-c57c44734abb}" ma:internalName="TaxCatchAll" ma:showField="CatchAllData" ma:web="7cbc4dd1-6b71-430c-bf7a-ef0455ecc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20d4576-3d9a-4d78-8032-40190aea7f83" xsi:nil="true"/>
    <TaxCatchAll xmlns="7cbc4dd1-6b71-430c-bf7a-ef0455ecc4c7" xsi:nil="true"/>
    <lcf76f155ced4ddcb4097134ff3c332f xmlns="220d4576-3d9a-4d78-8032-40190aea7f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376FB-E706-499E-B764-35F4E073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4576-3d9a-4d78-8032-40190aea7f83"/>
    <ds:schemaRef ds:uri="7cbc4dd1-6b71-430c-bf7a-ef0455ecc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5F020-12C2-4888-BD7A-D2FF5CC1AB41}">
  <ds:schemaRefs>
    <ds:schemaRef ds:uri="http://schemas.microsoft.com/sharepoint/v3/contenttype/forms"/>
  </ds:schemaRefs>
</ds:datastoreItem>
</file>

<file path=customXml/itemProps3.xml><?xml version="1.0" encoding="utf-8"?>
<ds:datastoreItem xmlns:ds="http://schemas.openxmlformats.org/officeDocument/2006/customXml" ds:itemID="{099B5FFF-8C76-4870-AED3-0F015BD40905}">
  <ds:schemaRefs>
    <ds:schemaRef ds:uri="http://schemas.microsoft.com/office/2006/metadata/properties"/>
    <ds:schemaRef ds:uri="http://schemas.microsoft.com/office/infopath/2007/PartnerControls"/>
    <ds:schemaRef ds:uri="220d4576-3d9a-4d78-8032-40190aea7f83"/>
    <ds:schemaRef ds:uri="7cbc4dd1-6b71-430c-bf7a-ef0455ecc4c7"/>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839</Words>
  <Characters>4533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Garcia | FLH</dc:creator>
  <cp:keywords/>
  <dc:description/>
  <cp:lastModifiedBy>Enzo Andrade | Leverage</cp:lastModifiedBy>
  <cp:revision>89</cp:revision>
  <cp:lastPrinted>2025-09-01T22:28:00Z</cp:lastPrinted>
  <dcterms:created xsi:type="dcterms:W3CDTF">2025-06-18T20:14:00Z</dcterms:created>
  <dcterms:modified xsi:type="dcterms:W3CDTF">2025-09-01T22:28:00Z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0x0101002A50FCB397F69D4EB00FCC721B64DEC0</vt:lpwstr>
  </property>
  <property fmtid="{D5CDD505-2E9C-101B-9397-08002B2CF9AE}" pid="3" name="Order">
    <vt:r8>1032200</vt:r8>
  </property>
  <property fmtid="{D5CDD505-2E9C-101B-9397-08002B2CF9AE}" pid="4" name="xd_Signature">
    <vt:bool>false</vt:bool>
  </property>
  <property fmtid="{D5CDD505-2E9C-101B-9397-08002B2CF9AE}" pid="5" name="xd_ProgID">
    <vt:lpwstr/>
  </property>
  <property fmtid="{D5CDD505-2E9C-101B-9397-08002B2CF9AE}" pid="6" name="Versão consolidada">
    <vt:bool>false</vt:bool>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